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fldChar w:fldCharType="begin"/>
      </w:r>
      <w:r w:rsidRPr="00924A4F">
        <w:rPr>
          <w:rFonts w:ascii="Verdana" w:eastAsia="Times New Roman" w:hAnsi="Verdana" w:cs="Times New Roman"/>
          <w:color w:val="000000"/>
          <w:sz w:val="19"/>
          <w:szCs w:val="19"/>
        </w:rPr>
        <w:instrText xml:space="preserve"> HYPERLINK "https://content.umuc.edu/file/d41d1333-27ea-4f74-89a9-34f2bebdb83f/1/PSYC353-0406.zip/Modules/M5-Module_5/S3-Commentary.html" \l "psychotraumatology" </w:instrText>
      </w:r>
      <w:r w:rsidRPr="00924A4F">
        <w:rPr>
          <w:rFonts w:ascii="Verdana" w:eastAsia="Times New Roman" w:hAnsi="Verdana" w:cs="Times New Roman"/>
          <w:color w:val="000000"/>
          <w:sz w:val="19"/>
          <w:szCs w:val="19"/>
        </w:rPr>
        <w:fldChar w:fldCharType="separate"/>
      </w:r>
      <w:proofErr w:type="spellStart"/>
      <w:r w:rsidRPr="00924A4F">
        <w:rPr>
          <w:rFonts w:ascii="Verdana" w:eastAsia="Times New Roman" w:hAnsi="Verdana" w:cs="Times New Roman"/>
          <w:color w:val="0000FF"/>
          <w:sz w:val="19"/>
          <w:szCs w:val="19"/>
          <w:u w:val="single"/>
        </w:rPr>
        <w:t>Psychotraumatology</w:t>
      </w:r>
      <w:proofErr w:type="spellEnd"/>
      <w:r w:rsidRPr="00924A4F">
        <w:rPr>
          <w:rFonts w:ascii="Verdana" w:eastAsia="Times New Roman" w:hAnsi="Verdana" w:cs="Times New Roman"/>
          <w:color w:val="0000FF"/>
          <w:sz w:val="19"/>
          <w:szCs w:val="19"/>
          <w:u w:val="single"/>
        </w:rPr>
        <w:t xml:space="preserve"> as "the Diagnosis of the Twenty-First Century"</w:t>
      </w:r>
      <w:r w:rsidRPr="00924A4F">
        <w:rPr>
          <w:rFonts w:ascii="Verdana" w:eastAsia="Times New Roman" w:hAnsi="Verdana" w:cs="Times New Roman"/>
          <w:color w:val="000000"/>
          <w:sz w:val="19"/>
          <w:szCs w:val="19"/>
        </w:rPr>
        <w:fldChar w:fldCharType="end"/>
      </w:r>
      <w:r w:rsidRPr="00924A4F">
        <w:rPr>
          <w:rFonts w:ascii="Verdana" w:eastAsia="Times New Roman" w:hAnsi="Verdana" w:cs="Times New Roman"/>
          <w:color w:val="000000"/>
          <w:sz w:val="19"/>
          <w:szCs w:val="19"/>
        </w:rPr>
        <w:br/>
      </w:r>
      <w:hyperlink r:id="rId5" w:anchor="suicide" w:history="1">
        <w:r w:rsidRPr="00924A4F">
          <w:rPr>
            <w:rFonts w:ascii="Verdana" w:eastAsia="Times New Roman" w:hAnsi="Verdana" w:cs="Times New Roman"/>
            <w:color w:val="0000FF"/>
            <w:sz w:val="19"/>
            <w:szCs w:val="19"/>
            <w:u w:val="single"/>
          </w:rPr>
          <w:t>Suicide</w:t>
        </w:r>
      </w:hyperlink>
      <w:r w:rsidRPr="00924A4F">
        <w:rPr>
          <w:rFonts w:ascii="Verdana" w:eastAsia="Times New Roman" w:hAnsi="Verdana" w:cs="Times New Roman"/>
          <w:color w:val="000000"/>
          <w:sz w:val="19"/>
          <w:szCs w:val="19"/>
        </w:rPr>
        <w:br/>
      </w:r>
      <w:hyperlink r:id="rId6" w:anchor="sexual" w:history="1">
        <w:r w:rsidRPr="00924A4F">
          <w:rPr>
            <w:rFonts w:ascii="Verdana" w:eastAsia="Times New Roman" w:hAnsi="Verdana" w:cs="Times New Roman"/>
            <w:color w:val="0000FF"/>
            <w:sz w:val="19"/>
            <w:szCs w:val="19"/>
            <w:u w:val="single"/>
          </w:rPr>
          <w:t>Sexual Variants</w:t>
        </w:r>
      </w:hyperlink>
      <w:r w:rsidRPr="00924A4F">
        <w:rPr>
          <w:rFonts w:ascii="Verdana" w:eastAsia="Times New Roman" w:hAnsi="Verdana" w:cs="Times New Roman"/>
          <w:color w:val="000000"/>
          <w:sz w:val="19"/>
          <w:szCs w:val="19"/>
        </w:rPr>
        <w:br/>
      </w:r>
      <w:hyperlink r:id="rId7" w:anchor="sibling" w:history="1">
        <w:r w:rsidRPr="00924A4F">
          <w:rPr>
            <w:rFonts w:ascii="Verdana" w:eastAsia="Times New Roman" w:hAnsi="Verdana" w:cs="Times New Roman"/>
            <w:color w:val="0000FF"/>
            <w:sz w:val="19"/>
            <w:szCs w:val="19"/>
            <w:u w:val="single"/>
          </w:rPr>
          <w:t>Sibling Relationships</w:t>
        </w:r>
      </w:hyperlink>
      <w:r w:rsidRPr="00924A4F">
        <w:rPr>
          <w:rFonts w:ascii="Verdana" w:eastAsia="Times New Roman" w:hAnsi="Verdana" w:cs="Times New Roman"/>
          <w:color w:val="000000"/>
          <w:sz w:val="19"/>
          <w:szCs w:val="19"/>
        </w:rPr>
        <w:br/>
      </w:r>
      <w:hyperlink r:id="rId8" w:anchor="protecting" w:history="1">
        <w:r w:rsidRPr="00924A4F">
          <w:rPr>
            <w:rFonts w:ascii="Verdana" w:eastAsia="Times New Roman" w:hAnsi="Verdana" w:cs="Times New Roman"/>
            <w:color w:val="0000FF"/>
            <w:sz w:val="19"/>
            <w:szCs w:val="19"/>
            <w:u w:val="single"/>
          </w:rPr>
          <w:t>Protecting Patients' Rights</w:t>
        </w:r>
      </w:hyperlink>
      <w:r w:rsidRPr="00924A4F">
        <w:rPr>
          <w:rFonts w:ascii="Verdana" w:eastAsia="Times New Roman" w:hAnsi="Verdana" w:cs="Times New Roman"/>
          <w:color w:val="000000"/>
          <w:sz w:val="19"/>
          <w:szCs w:val="19"/>
        </w:rPr>
        <w:br/>
      </w:r>
      <w:hyperlink r:id="rId9" w:anchor="feminist" w:history="1">
        <w:r w:rsidRPr="00924A4F">
          <w:rPr>
            <w:rFonts w:ascii="Verdana" w:eastAsia="Times New Roman" w:hAnsi="Verdana" w:cs="Times New Roman"/>
            <w:color w:val="0000FF"/>
            <w:sz w:val="19"/>
            <w:szCs w:val="19"/>
            <w:u w:val="single"/>
          </w:rPr>
          <w:t>Feminist Psychology</w:t>
        </w:r>
      </w:hyperlink>
      <w:r w:rsidRPr="00924A4F">
        <w:rPr>
          <w:rFonts w:ascii="Verdana" w:eastAsia="Times New Roman" w:hAnsi="Verdana" w:cs="Times New Roman"/>
          <w:color w:val="000000"/>
          <w:sz w:val="19"/>
          <w:szCs w:val="19"/>
        </w:rPr>
        <w:br/>
      </w:r>
      <w:hyperlink r:id="rId10" w:anchor="conclusion" w:history="1">
        <w:r w:rsidRPr="00924A4F">
          <w:rPr>
            <w:rFonts w:ascii="Verdana" w:eastAsia="Times New Roman" w:hAnsi="Verdana" w:cs="Times New Roman"/>
            <w:color w:val="0000FF"/>
            <w:sz w:val="19"/>
            <w:szCs w:val="19"/>
            <w:u w:val="single"/>
          </w:rPr>
          <w:t>Conclusion</w:t>
        </w:r>
      </w:hyperlink>
    </w:p>
    <w:p w:rsidR="00924A4F" w:rsidRPr="00924A4F" w:rsidRDefault="00924A4F" w:rsidP="00924A4F">
      <w:pPr>
        <w:spacing w:before="100" w:beforeAutospacing="1" w:after="100" w:afterAutospacing="1" w:line="240" w:lineRule="auto"/>
        <w:outlineLvl w:val="2"/>
        <w:rPr>
          <w:rFonts w:ascii="Verdana" w:eastAsia="Times New Roman" w:hAnsi="Verdana" w:cs="Times New Roman"/>
          <w:b/>
          <w:bCs/>
          <w:color w:val="336699"/>
          <w:sz w:val="31"/>
          <w:szCs w:val="31"/>
        </w:rPr>
      </w:pPr>
      <w:bookmarkStart w:id="0" w:name="psychotraumatology"/>
      <w:bookmarkEnd w:id="0"/>
      <w:proofErr w:type="spellStart"/>
      <w:r w:rsidRPr="00924A4F">
        <w:rPr>
          <w:rFonts w:ascii="Verdana" w:eastAsia="Times New Roman" w:hAnsi="Verdana" w:cs="Times New Roman"/>
          <w:b/>
          <w:bCs/>
          <w:color w:val="336699"/>
          <w:sz w:val="31"/>
          <w:szCs w:val="31"/>
        </w:rPr>
        <w:t>Psychotraumatology</w:t>
      </w:r>
      <w:proofErr w:type="spellEnd"/>
      <w:r w:rsidRPr="00924A4F">
        <w:rPr>
          <w:rFonts w:ascii="Verdana" w:eastAsia="Times New Roman" w:hAnsi="Verdana" w:cs="Times New Roman"/>
          <w:b/>
          <w:bCs/>
          <w:color w:val="336699"/>
          <w:sz w:val="31"/>
          <w:szCs w:val="31"/>
        </w:rPr>
        <w:t xml:space="preserve"> as "the Diagnosis of the Twenty-First Century"</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Reactions to stress and trauma have received much attention in recent years. We have only to look at the daily news. Because we've come to realize how large a role stress and traumatic events play in modern life, and the problematic aftermath for individuals as well as entire societies, it's understandable that there is increased focus on psychological disorders to which they give rise.</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For this reason, posttraumatic stress disorder (PTSD) has been called "the diagnosis of the twenty-first century." However, acute stress disorder (ASD)—added as a new entity in the DSM-IV—is so closely related that the two might as well be joined. Then, too, still other diagnostic categories in the DSM-IV could be recombined more meaningfully as reactions to stress and traumatic events, for instance, borderline personality disorder, </w:t>
      </w:r>
      <w:proofErr w:type="spellStart"/>
      <w:r w:rsidRPr="00924A4F">
        <w:rPr>
          <w:rFonts w:ascii="Verdana" w:eastAsia="Times New Roman" w:hAnsi="Verdana" w:cs="Times New Roman"/>
          <w:color w:val="000000"/>
          <w:sz w:val="19"/>
          <w:szCs w:val="19"/>
        </w:rPr>
        <w:t>multipersonality</w:t>
      </w:r>
      <w:proofErr w:type="spellEnd"/>
      <w:r w:rsidRPr="00924A4F">
        <w:rPr>
          <w:rFonts w:ascii="Verdana" w:eastAsia="Times New Roman" w:hAnsi="Verdana" w:cs="Times New Roman"/>
          <w:color w:val="000000"/>
          <w:sz w:val="19"/>
          <w:szCs w:val="19"/>
        </w:rPr>
        <w:t xml:space="preserve"> disorder, and gender identity disorder. We'll simply use the term </w:t>
      </w:r>
      <w:proofErr w:type="spellStart"/>
      <w:r w:rsidRPr="00924A4F">
        <w:rPr>
          <w:rFonts w:ascii="Verdana" w:eastAsia="Times New Roman" w:hAnsi="Verdana" w:cs="Times New Roman"/>
          <w:b/>
          <w:bCs/>
          <w:color w:val="000000"/>
          <w:sz w:val="19"/>
          <w:szCs w:val="19"/>
        </w:rPr>
        <w:t>psychotraumatology</w:t>
      </w:r>
      <w:proofErr w:type="spellEnd"/>
      <w:r w:rsidRPr="00924A4F">
        <w:rPr>
          <w:rFonts w:ascii="Verdana" w:eastAsia="Times New Roman" w:hAnsi="Verdana" w:cs="Times New Roman"/>
          <w:color w:val="000000"/>
          <w:sz w:val="19"/>
          <w:szCs w:val="19"/>
        </w:rPr>
        <w:t> as an</w:t>
      </w:r>
      <w:r w:rsidRPr="00924A4F">
        <w:rPr>
          <w:rFonts w:ascii="Verdana" w:eastAsia="Times New Roman" w:hAnsi="Verdana" w:cs="Times New Roman"/>
          <w:b/>
          <w:bCs/>
          <w:color w:val="000000"/>
          <w:sz w:val="19"/>
          <w:szCs w:val="19"/>
        </w:rPr>
        <w:t> </w:t>
      </w:r>
      <w:r w:rsidRPr="00924A4F">
        <w:rPr>
          <w:rFonts w:ascii="Verdana" w:eastAsia="Times New Roman" w:hAnsi="Verdana" w:cs="Times New Roman"/>
          <w:color w:val="000000"/>
          <w:sz w:val="19"/>
          <w:szCs w:val="19"/>
        </w:rPr>
        <w:t>umbrella.</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An interesting repercussion of the increased awareness of reactions to stress and traumatic events is that childhood is viewed as one of the main sources of </w:t>
      </w:r>
      <w:proofErr w:type="spellStart"/>
      <w:r w:rsidRPr="00924A4F">
        <w:rPr>
          <w:rFonts w:ascii="Verdana" w:eastAsia="Times New Roman" w:hAnsi="Verdana" w:cs="Times New Roman"/>
          <w:color w:val="000000"/>
          <w:sz w:val="19"/>
          <w:szCs w:val="19"/>
        </w:rPr>
        <w:t>psychotraumatic</w:t>
      </w:r>
      <w:proofErr w:type="spellEnd"/>
      <w:r w:rsidRPr="00924A4F">
        <w:rPr>
          <w:rFonts w:ascii="Verdana" w:eastAsia="Times New Roman" w:hAnsi="Verdana" w:cs="Times New Roman"/>
          <w:color w:val="000000"/>
          <w:sz w:val="19"/>
          <w:szCs w:val="19"/>
        </w:rPr>
        <w:t xml:space="preserve"> disorders. People often assume that childhood is a time of innocence and happiness, but this is far from the case. Children are helpless, completely dependent on the big people in their lives for nurturance and support. Not all children are fortunate enough to have a benevolent environment in which to grow up. For many children, it's exactly the opposite, and they never forget the painful and unpleasant lessons learned at the hands of people who were supposed to love and protect them. Their personalities are formed around this trauma. Only by recognizing and acknowledging this fact can we begin to think about prevention and </w:t>
      </w:r>
      <w:proofErr w:type="gramStart"/>
      <w:r w:rsidRPr="00924A4F">
        <w:rPr>
          <w:rFonts w:ascii="Verdana" w:eastAsia="Times New Roman" w:hAnsi="Verdana" w:cs="Times New Roman"/>
          <w:color w:val="000000"/>
          <w:sz w:val="19"/>
          <w:szCs w:val="19"/>
        </w:rPr>
        <w:t>treatment.</w:t>
      </w:r>
      <w:proofErr w:type="gramEnd"/>
    </w:p>
    <w:p w:rsidR="00924A4F" w:rsidRPr="00924A4F" w:rsidRDefault="00924A4F" w:rsidP="00924A4F">
      <w:pPr>
        <w:spacing w:before="100" w:beforeAutospacing="1" w:after="100" w:afterAutospacing="1" w:line="240" w:lineRule="auto"/>
        <w:outlineLvl w:val="2"/>
        <w:rPr>
          <w:rFonts w:ascii="Verdana" w:eastAsia="Times New Roman" w:hAnsi="Verdana" w:cs="Times New Roman"/>
          <w:b/>
          <w:bCs/>
          <w:color w:val="336699"/>
          <w:sz w:val="31"/>
          <w:szCs w:val="31"/>
        </w:rPr>
      </w:pPr>
      <w:bookmarkStart w:id="1" w:name="suicide"/>
      <w:bookmarkEnd w:id="1"/>
      <w:r w:rsidRPr="00924A4F">
        <w:rPr>
          <w:rFonts w:ascii="Verdana" w:eastAsia="Times New Roman" w:hAnsi="Verdana" w:cs="Times New Roman"/>
          <w:b/>
          <w:bCs/>
          <w:color w:val="336699"/>
          <w:sz w:val="31"/>
          <w:szCs w:val="31"/>
        </w:rPr>
        <w:t>Suicide</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Suicide is often described as an act of self-induced annihilation precipitated by the sufferer's malaise, lack of hope, and belief that it's the best solution for all concerned.</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Mood disorders (unipolar depression and bipolar disorders), schizophrenia, personality disorders, and alcoholism often infuse people with a desire to commit suicide. Because these mental disorders greatly disrupt cognitive abilities, people who attempt suicide may see it as a way to demonstrate clearly how bad they feel, to cry for help, or to induce guilt feelings in others. Other suicide attempts may aimed at achieving reincarnation, rejoining a dead loved one, or making amends for perceived past terrible deeds. Mental disorders often place sufferers in an emotional vacuum, punctuated by such intense pain, loneliness, and guilt that the only way they see to escape these feelings is to commit suicide.</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Suicide is an extremely serious worldwide problem. </w:t>
      </w:r>
      <w:proofErr w:type="spellStart"/>
      <w:r w:rsidRPr="00924A4F">
        <w:rPr>
          <w:rFonts w:ascii="Verdana" w:eastAsia="Times New Roman" w:hAnsi="Verdana" w:cs="Times New Roman"/>
          <w:color w:val="000000"/>
          <w:sz w:val="19"/>
          <w:szCs w:val="19"/>
        </w:rPr>
        <w:t>Diekstra</w:t>
      </w:r>
      <w:proofErr w:type="spellEnd"/>
      <w:r w:rsidRPr="00924A4F">
        <w:rPr>
          <w:rFonts w:ascii="Verdana" w:eastAsia="Times New Roman" w:hAnsi="Verdana" w:cs="Times New Roman"/>
          <w:color w:val="000000"/>
          <w:sz w:val="19"/>
          <w:szCs w:val="19"/>
        </w:rPr>
        <w:t xml:space="preserve"> (1996, p. 3) estimates that there are more than 450,000 suicide deaths yearly. In the United States alone, </w:t>
      </w:r>
      <w:proofErr w:type="spellStart"/>
      <w:r w:rsidRPr="00924A4F">
        <w:rPr>
          <w:rFonts w:ascii="Verdana" w:eastAsia="Times New Roman" w:hAnsi="Verdana" w:cs="Times New Roman"/>
          <w:color w:val="000000"/>
          <w:sz w:val="19"/>
          <w:szCs w:val="19"/>
        </w:rPr>
        <w:t>Diekstra</w:t>
      </w:r>
      <w:proofErr w:type="spellEnd"/>
      <w:r w:rsidRPr="00924A4F">
        <w:rPr>
          <w:rFonts w:ascii="Verdana" w:eastAsia="Times New Roman" w:hAnsi="Verdana" w:cs="Times New Roman"/>
          <w:color w:val="000000"/>
          <w:sz w:val="19"/>
          <w:szCs w:val="19"/>
        </w:rPr>
        <w:t xml:space="preserve"> estimates that 30,000 suicides occur each year. Public awareness of suicide is being promoted by publicizing the </w:t>
      </w:r>
      <w:r w:rsidRPr="00924A4F">
        <w:rPr>
          <w:rFonts w:ascii="Verdana" w:eastAsia="Times New Roman" w:hAnsi="Verdana" w:cs="Times New Roman"/>
          <w:color w:val="000000"/>
          <w:sz w:val="19"/>
          <w:szCs w:val="19"/>
        </w:rPr>
        <w:lastRenderedPageBreak/>
        <w:t>warning signs of suicide and the steps to take when someone expresses an urge to commit suicide. Crisis intervention centers are also providing the immediate help suicidal people need.</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It's difficult for many people to imagine what could bring someone to wish to destroy himself or herself. Two of the video segments provide some insight from actual experience. In video segment 109, a woman discusses a past suicide attempt. Note the contrast with her present positive state of mind. In video segment 110, we see the effect of suicide on family members, who, eight months after a woman's suicide, discuss their views on the suicide, their attitudes toward their lost relative, their grief and sense of loss, and the effect of her suicide on family dynamics.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A number of things can serve as </w:t>
      </w:r>
      <w:r w:rsidRPr="00924A4F">
        <w:rPr>
          <w:rFonts w:ascii="Verdana" w:eastAsia="Times New Roman" w:hAnsi="Verdana" w:cs="Times New Roman"/>
          <w:i/>
          <w:iCs/>
          <w:color w:val="000000"/>
          <w:sz w:val="19"/>
          <w:szCs w:val="19"/>
        </w:rPr>
        <w:t>triggers</w:t>
      </w:r>
      <w:r w:rsidRPr="00924A4F">
        <w:rPr>
          <w:rFonts w:ascii="Verdana" w:eastAsia="Times New Roman" w:hAnsi="Verdana" w:cs="Times New Roman"/>
          <w:color w:val="000000"/>
          <w:sz w:val="19"/>
          <w:szCs w:val="19"/>
        </w:rPr>
        <w:t> for a person already considering suicide to carry it out. These triggers include:</w:t>
      </w:r>
    </w:p>
    <w:p w:rsidR="00924A4F" w:rsidRPr="00924A4F" w:rsidRDefault="00924A4F" w:rsidP="00924A4F">
      <w:pPr>
        <w:spacing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1. Stressful Events and Situations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Intense feelings of tension and frustration often lead to despair and hopelessness and, eventually, suicide as a way of finding relief from intense disappointment. For example, loss of a loved one through death, divorce, or rejection prompts many people to attempt suicide. So too may loss of a job or retirement. So may natural disasters. People with serious medical problems, such as AIDS or cancer, in which extreme physical suffering is present with little hope for improvement, often commit suicide, as do people who are harshly abused and see no escape. Also prone to suicide may be perfectionists, who often set up such unrealistic goals for themselves that they experience almost constant dissatisfaction with their performance.</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2. Mood and Thought Changes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Mood changes from positive (upbeat, happy) to negative (dysphoric, sad) often prompt self-defeating feelings such as anxiety, tension, frustration, and shame. Shifts to negative moods often prompt distortions in thinking processes in which people become preoccupied with their perceived or real problems. Their thoughts become magnified and revolve around feelings of hopelessness or gloom and doom. Distorted thinking processes often elicit rigid, exaggerated interpretations of one's problems. Suicide or death appear to be the only ways to ease the pain.</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Although suicide is often linked to depression and bipolar disorder, many </w:t>
      </w:r>
      <w:proofErr w:type="spellStart"/>
      <w:r w:rsidRPr="00924A4F">
        <w:rPr>
          <w:rFonts w:ascii="Verdana" w:eastAsia="Times New Roman" w:hAnsi="Verdana" w:cs="Times New Roman"/>
          <w:color w:val="000000"/>
          <w:sz w:val="19"/>
          <w:szCs w:val="19"/>
        </w:rPr>
        <w:t>nondepressed</w:t>
      </w:r>
      <w:proofErr w:type="spellEnd"/>
      <w:r w:rsidRPr="00924A4F">
        <w:rPr>
          <w:rFonts w:ascii="Verdana" w:eastAsia="Times New Roman" w:hAnsi="Verdana" w:cs="Times New Roman"/>
          <w:color w:val="000000"/>
          <w:sz w:val="19"/>
          <w:szCs w:val="19"/>
        </w:rPr>
        <w:t xml:space="preserve"> people attempt suicide. Suicide rates for borderline personalities, schizophrenics, and male alcoholics are much higher than for others. Ostensibly, most suicides are by people who have been diagnosed with a mental disorder.</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3. Alcohol and Drug Use</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Alcohol and drug usage have each been linked to suicide attempts. These substances seem to elicit suicidal thoughts and behaviors, perhaps because they each blur the thinking process. It may be that individuals medicate themselves with alcohol or drugs to alleviate their depressive symptoms of despair and hopelessness. Obviously, not all alcoholics or drug addicts attempt suicide.</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However, a strong link between alcohol, drugs, and suicide has been found in numerous studies. Black, Yates, Petty, Noyes, and Brown  found that about 10 percent of alcoholics commit suicide, and over 18 percent show a history of suicide attempts (1986, pp. 228–229). Kinney (2000, p. 436) maintains that approximately 40 percent of completed suicides are alcohol-related and that for alcoholics, the suicide rate is 55 times higher than for the general population. Some alcohol </w:t>
      </w:r>
      <w:r w:rsidRPr="00924A4F">
        <w:rPr>
          <w:rFonts w:ascii="Verdana" w:eastAsia="Times New Roman" w:hAnsi="Verdana" w:cs="Times New Roman"/>
          <w:color w:val="000000"/>
          <w:sz w:val="19"/>
          <w:szCs w:val="19"/>
        </w:rPr>
        <w:lastRenderedPageBreak/>
        <w:t>abusers take barbiturates when they're drinking to enhance their "high" or to commit suicide. Those abusers who are ignorant of the effects of this mixing may commit suicide</w:t>
      </w:r>
      <w:r w:rsidRPr="00924A4F">
        <w:rPr>
          <w:rFonts w:ascii="Times New Roman" w:eastAsia="Times New Roman" w:hAnsi="Times New Roman" w:cs="Times New Roman"/>
          <w:color w:val="000000"/>
          <w:sz w:val="24"/>
          <w:szCs w:val="24"/>
        </w:rPr>
        <w:t> </w:t>
      </w:r>
      <w:r w:rsidRPr="00924A4F">
        <w:rPr>
          <w:rFonts w:ascii="Verdana" w:eastAsia="Times New Roman" w:hAnsi="Verdana" w:cs="Times New Roman"/>
          <w:color w:val="000000"/>
          <w:sz w:val="19"/>
          <w:szCs w:val="19"/>
        </w:rPr>
        <w:t>accidentally</w:t>
      </w:r>
      <w:r w:rsidRPr="00924A4F">
        <w:rPr>
          <w:rFonts w:ascii="Times New Roman" w:eastAsia="Times New Roman" w:hAnsi="Times New Roman" w:cs="Times New Roman"/>
          <w:color w:val="000000"/>
          <w:sz w:val="24"/>
          <w:szCs w:val="24"/>
        </w:rPr>
        <w:t>.</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4. Copy-Cat Modeling    </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Media reports of a suicide often prompt an increase in suicides. Such a tendency is referred to as </w:t>
      </w:r>
      <w:r w:rsidRPr="00924A4F">
        <w:rPr>
          <w:rFonts w:ascii="Verdana" w:eastAsia="Times New Roman" w:hAnsi="Verdana" w:cs="Times New Roman"/>
          <w:b/>
          <w:bCs/>
          <w:color w:val="000000"/>
          <w:sz w:val="19"/>
          <w:szCs w:val="19"/>
        </w:rPr>
        <w:t>copy-cat</w:t>
      </w:r>
      <w:r w:rsidRPr="00924A4F">
        <w:rPr>
          <w:rFonts w:ascii="Verdana" w:eastAsia="Times New Roman" w:hAnsi="Verdana" w:cs="Times New Roman"/>
          <w:color w:val="000000"/>
          <w:sz w:val="19"/>
          <w:szCs w:val="19"/>
        </w:rPr>
        <w:t> </w:t>
      </w:r>
      <w:r w:rsidRPr="00924A4F">
        <w:rPr>
          <w:rFonts w:ascii="Verdana" w:eastAsia="Times New Roman" w:hAnsi="Verdana" w:cs="Times New Roman"/>
          <w:b/>
          <w:bCs/>
          <w:color w:val="000000"/>
          <w:sz w:val="19"/>
          <w:szCs w:val="19"/>
        </w:rPr>
        <w:t>modeling</w:t>
      </w:r>
      <w:r w:rsidRPr="00924A4F">
        <w:rPr>
          <w:rFonts w:ascii="Verdana" w:eastAsia="Times New Roman" w:hAnsi="Verdana" w:cs="Times New Roman"/>
          <w:color w:val="000000"/>
          <w:sz w:val="19"/>
          <w:szCs w:val="19"/>
        </w:rPr>
        <w:t xml:space="preserve">. Young people seem especially prone to copy-cat suicide. Hence, suicide rate increases are seen immediately after a famous person, such as a movie star or musician, commits suicide. For instance, when actress Marilyn Monroe committed suicide, suicide deaths rose by 12 </w:t>
      </w:r>
      <w:proofErr w:type="spellStart"/>
      <w:r w:rsidRPr="00924A4F">
        <w:rPr>
          <w:rFonts w:ascii="Verdana" w:eastAsia="Times New Roman" w:hAnsi="Verdana" w:cs="Times New Roman"/>
          <w:color w:val="000000"/>
          <w:sz w:val="19"/>
          <w:szCs w:val="19"/>
        </w:rPr>
        <w:t>percentduring</w:t>
      </w:r>
      <w:proofErr w:type="spellEnd"/>
      <w:r w:rsidRPr="00924A4F">
        <w:rPr>
          <w:rFonts w:ascii="Verdana" w:eastAsia="Times New Roman" w:hAnsi="Verdana" w:cs="Times New Roman"/>
          <w:color w:val="000000"/>
          <w:sz w:val="19"/>
          <w:szCs w:val="19"/>
        </w:rPr>
        <w:t xml:space="preserve"> the following month (Phillips, 1974, p. 350). A single case of suicide at a school also seems to become contagious, as the media have often reported in recent years.</w:t>
      </w:r>
    </w:p>
    <w:p w:rsidR="00924A4F" w:rsidRPr="00924A4F" w:rsidRDefault="00924A4F" w:rsidP="00924A4F">
      <w:pPr>
        <w:spacing w:before="100" w:beforeAutospacing="1" w:after="100" w:afterAutospacing="1" w:line="240" w:lineRule="auto"/>
        <w:outlineLvl w:val="3"/>
        <w:rPr>
          <w:rFonts w:ascii="Verdana" w:eastAsia="Times New Roman" w:hAnsi="Verdana" w:cs="Times New Roman"/>
          <w:b/>
          <w:bCs/>
          <w:color w:val="336699"/>
          <w:sz w:val="25"/>
          <w:szCs w:val="25"/>
        </w:rPr>
      </w:pPr>
      <w:r w:rsidRPr="00924A4F">
        <w:rPr>
          <w:rFonts w:ascii="Verdana" w:eastAsia="Times New Roman" w:hAnsi="Verdana" w:cs="Times New Roman"/>
          <w:b/>
          <w:bCs/>
          <w:color w:val="336699"/>
          <w:sz w:val="25"/>
          <w:szCs w:val="25"/>
        </w:rPr>
        <w:t>Explanations of Suicide</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Suicide is a multidimensional problem. Rates for attempted and successful suicide vary by age and gender. The biological, psychodynamic, behavioral, cognitive, and sociocultural explanations each provide a unique interpretation of the determinants of suicide.</w:t>
      </w:r>
    </w:p>
    <w:tbl>
      <w:tblPr>
        <w:tblW w:w="4500" w:type="pct"/>
        <w:jc w:val="center"/>
        <w:tblCellSpacing w:w="7" w:type="dxa"/>
        <w:tblBorders>
          <w:top w:val="outset" w:sz="6" w:space="0" w:color="auto"/>
          <w:left w:val="outset" w:sz="6" w:space="0" w:color="auto"/>
          <w:bottom w:val="outset" w:sz="6" w:space="0" w:color="auto"/>
          <w:right w:val="outset" w:sz="6" w:space="0" w:color="auto"/>
        </w:tblBorders>
        <w:shd w:val="clear" w:color="auto" w:fill="F0FFFF"/>
        <w:tblCellMar>
          <w:top w:w="75" w:type="dxa"/>
          <w:left w:w="75" w:type="dxa"/>
          <w:bottom w:w="75" w:type="dxa"/>
          <w:right w:w="75" w:type="dxa"/>
        </w:tblCellMar>
        <w:tblLook w:val="04A0" w:firstRow="1" w:lastRow="0" w:firstColumn="1" w:lastColumn="0" w:noHBand="0" w:noVBand="1"/>
      </w:tblPr>
      <w:tblGrid>
        <w:gridCol w:w="8410"/>
      </w:tblGrid>
      <w:tr w:rsidR="00924A4F" w:rsidRPr="00924A4F" w:rsidTr="00924A4F">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FFF"/>
            <w:hideMark/>
          </w:tcPr>
          <w:p w:rsidR="00924A4F" w:rsidRPr="00924A4F" w:rsidRDefault="00924A4F" w:rsidP="00924A4F">
            <w:pPr>
              <w:spacing w:after="0" w:line="240" w:lineRule="auto"/>
              <w:rPr>
                <w:rFonts w:ascii="Times New Roman" w:eastAsia="Times New Roman" w:hAnsi="Times New Roman" w:cs="Times New Roman"/>
                <w:sz w:val="24"/>
                <w:szCs w:val="24"/>
              </w:rPr>
            </w:pPr>
            <w:r w:rsidRPr="00924A4F">
              <w:rPr>
                <w:rFonts w:ascii="Times New Roman" w:eastAsia="Times New Roman" w:hAnsi="Times New Roman" w:cs="Times New Roman"/>
                <w:sz w:val="24"/>
                <w:szCs w:val="24"/>
              </w:rPr>
              <w:t>According to the </w:t>
            </w:r>
            <w:r w:rsidRPr="00924A4F">
              <w:rPr>
                <w:rFonts w:ascii="Times New Roman" w:eastAsia="Times New Roman" w:hAnsi="Times New Roman" w:cs="Times New Roman"/>
                <w:b/>
                <w:bCs/>
                <w:sz w:val="24"/>
                <w:szCs w:val="24"/>
              </w:rPr>
              <w:t>biological model, </w:t>
            </w:r>
            <w:r w:rsidRPr="00924A4F">
              <w:rPr>
                <w:rFonts w:ascii="Times New Roman" w:eastAsia="Times New Roman" w:hAnsi="Times New Roman" w:cs="Times New Roman"/>
                <w:sz w:val="24"/>
                <w:szCs w:val="24"/>
              </w:rPr>
              <w:t>low levels of serotonin cause depression and increased tendencies toward impassivity and aggression. Low serotonin levels, in fact, seem to cause the most violent suicide attempts of all. Low serotonin levels have been linked to low levels of cholesterol, which in turn lead to lower levels of serotonin. Genetic factors such as heredity have also been linked to suicide, perhaps because genetics may determine levels of serotonin.</w:t>
            </w:r>
          </w:p>
          <w:p w:rsidR="00924A4F" w:rsidRPr="00924A4F" w:rsidRDefault="00924A4F" w:rsidP="00924A4F">
            <w:pPr>
              <w:spacing w:before="100" w:beforeAutospacing="1" w:after="100" w:afterAutospacing="1" w:line="240" w:lineRule="auto"/>
              <w:rPr>
                <w:rFonts w:ascii="Times New Roman" w:eastAsia="Times New Roman" w:hAnsi="Times New Roman" w:cs="Times New Roman"/>
                <w:sz w:val="24"/>
                <w:szCs w:val="24"/>
              </w:rPr>
            </w:pPr>
            <w:r w:rsidRPr="00924A4F">
              <w:rPr>
                <w:rFonts w:ascii="Times New Roman" w:eastAsia="Times New Roman" w:hAnsi="Times New Roman" w:cs="Times New Roman"/>
                <w:sz w:val="24"/>
                <w:szCs w:val="24"/>
              </w:rPr>
              <w:t>According to the </w:t>
            </w:r>
            <w:r w:rsidRPr="00924A4F">
              <w:rPr>
                <w:rFonts w:ascii="Times New Roman" w:eastAsia="Times New Roman" w:hAnsi="Times New Roman" w:cs="Times New Roman"/>
                <w:b/>
                <w:bCs/>
                <w:sz w:val="24"/>
                <w:szCs w:val="24"/>
              </w:rPr>
              <w:t>psychodynamic model, </w:t>
            </w:r>
            <w:r w:rsidRPr="00924A4F">
              <w:rPr>
                <w:rFonts w:ascii="Times New Roman" w:eastAsia="Times New Roman" w:hAnsi="Times New Roman" w:cs="Times New Roman"/>
                <w:sz w:val="24"/>
                <w:szCs w:val="24"/>
              </w:rPr>
              <w:t>people commit suicide to escape stress or because of internalized aggression or a death instinct. Current clinicians maintain that suicide is the ultimate withdrawal. This may be why so many depressed people feel death is the only way to alleviate their feelings of despair and that life is not worth living.</w:t>
            </w:r>
          </w:p>
          <w:p w:rsidR="00924A4F" w:rsidRPr="00924A4F" w:rsidRDefault="00924A4F" w:rsidP="00924A4F">
            <w:pPr>
              <w:spacing w:before="100" w:beforeAutospacing="1" w:after="100" w:afterAutospacing="1" w:line="240" w:lineRule="auto"/>
              <w:rPr>
                <w:rFonts w:ascii="Times New Roman" w:eastAsia="Times New Roman" w:hAnsi="Times New Roman" w:cs="Times New Roman"/>
                <w:sz w:val="24"/>
                <w:szCs w:val="24"/>
              </w:rPr>
            </w:pPr>
            <w:r w:rsidRPr="00924A4F">
              <w:rPr>
                <w:rFonts w:ascii="Times New Roman" w:eastAsia="Times New Roman" w:hAnsi="Times New Roman" w:cs="Times New Roman"/>
                <w:sz w:val="24"/>
                <w:szCs w:val="24"/>
              </w:rPr>
              <w:t>According to the </w:t>
            </w:r>
            <w:r w:rsidRPr="00924A4F">
              <w:rPr>
                <w:rFonts w:ascii="Times New Roman" w:eastAsia="Times New Roman" w:hAnsi="Times New Roman" w:cs="Times New Roman"/>
                <w:b/>
                <w:bCs/>
                <w:sz w:val="24"/>
                <w:szCs w:val="24"/>
              </w:rPr>
              <w:t>behavioral model</w:t>
            </w:r>
            <w:r w:rsidRPr="00924A4F">
              <w:rPr>
                <w:rFonts w:ascii="Times New Roman" w:eastAsia="Times New Roman" w:hAnsi="Times New Roman" w:cs="Times New Roman"/>
                <w:sz w:val="24"/>
                <w:szCs w:val="24"/>
              </w:rPr>
              <w:t xml:space="preserve">, suicide threats often serve a reward function. By threatening to kill oneself, people manipulate others and are rewarded in the form of attention or getting their own way. Behavioral contagion, a concept somewhat similar to copy-cat modeling, is a process that seems to allow people to break social rules. A common example of this occurs with people standing at an intersection waiting for the light to change. When one person begins to cross the street against the light, it gives implied permission for everyone else to break the law as well. Similarly, restraints can be lifted for </w:t>
            </w:r>
            <w:proofErr w:type="spellStart"/>
            <w:r w:rsidRPr="00924A4F">
              <w:rPr>
                <w:rFonts w:ascii="Times New Roman" w:eastAsia="Times New Roman" w:hAnsi="Times New Roman" w:cs="Times New Roman"/>
                <w:sz w:val="24"/>
                <w:szCs w:val="24"/>
              </w:rPr>
              <w:t>for</w:t>
            </w:r>
            <w:proofErr w:type="spellEnd"/>
            <w:r w:rsidRPr="00924A4F">
              <w:rPr>
                <w:rFonts w:ascii="Times New Roman" w:eastAsia="Times New Roman" w:hAnsi="Times New Roman" w:cs="Times New Roman"/>
                <w:sz w:val="24"/>
                <w:szCs w:val="24"/>
              </w:rPr>
              <w:t xml:space="preserve"> those who believe it's wrong to commit suicide when they read about someone who has done so.</w:t>
            </w:r>
          </w:p>
          <w:p w:rsidR="00924A4F" w:rsidRPr="00924A4F" w:rsidRDefault="00924A4F" w:rsidP="00924A4F">
            <w:pPr>
              <w:spacing w:before="100" w:beforeAutospacing="1" w:after="100" w:afterAutospacing="1" w:line="240" w:lineRule="auto"/>
              <w:rPr>
                <w:rFonts w:ascii="Times New Roman" w:eastAsia="Times New Roman" w:hAnsi="Times New Roman" w:cs="Times New Roman"/>
                <w:sz w:val="24"/>
                <w:szCs w:val="24"/>
              </w:rPr>
            </w:pPr>
            <w:r w:rsidRPr="00924A4F">
              <w:rPr>
                <w:rFonts w:ascii="Times New Roman" w:eastAsia="Times New Roman" w:hAnsi="Times New Roman" w:cs="Times New Roman"/>
                <w:sz w:val="24"/>
                <w:szCs w:val="24"/>
              </w:rPr>
              <w:t>According to the </w:t>
            </w:r>
            <w:r w:rsidRPr="00924A4F">
              <w:rPr>
                <w:rFonts w:ascii="Times New Roman" w:eastAsia="Times New Roman" w:hAnsi="Times New Roman" w:cs="Times New Roman"/>
                <w:b/>
                <w:bCs/>
                <w:sz w:val="24"/>
                <w:szCs w:val="24"/>
              </w:rPr>
              <w:t>cognitive model</w:t>
            </w:r>
            <w:r w:rsidRPr="00924A4F">
              <w:rPr>
                <w:rFonts w:ascii="Times New Roman" w:eastAsia="Times New Roman" w:hAnsi="Times New Roman" w:cs="Times New Roman"/>
                <w:sz w:val="24"/>
                <w:szCs w:val="24"/>
              </w:rPr>
              <w:t>, suicide is the result of distorted problem-solving strategies that block efforts at seeing or seeking other solutions. Consequently, hopelessness dominates the suicidal person's cognitive processes until he or she comes to believe that things will never get better. Because of distorted thinking processes, the person comes to believe that relief can be found only in death.</w:t>
            </w:r>
          </w:p>
          <w:p w:rsidR="00924A4F" w:rsidRPr="00924A4F" w:rsidRDefault="00924A4F" w:rsidP="00924A4F">
            <w:pPr>
              <w:spacing w:before="100" w:beforeAutospacing="1" w:after="100" w:afterAutospacing="1" w:line="240" w:lineRule="auto"/>
              <w:rPr>
                <w:rFonts w:ascii="Times New Roman" w:eastAsia="Times New Roman" w:hAnsi="Times New Roman" w:cs="Times New Roman"/>
                <w:sz w:val="24"/>
                <w:szCs w:val="24"/>
              </w:rPr>
            </w:pPr>
            <w:r w:rsidRPr="00924A4F">
              <w:rPr>
                <w:rFonts w:ascii="Times New Roman" w:eastAsia="Times New Roman" w:hAnsi="Times New Roman" w:cs="Times New Roman"/>
                <w:sz w:val="24"/>
                <w:szCs w:val="24"/>
              </w:rPr>
              <w:lastRenderedPageBreak/>
              <w:t>According to the </w:t>
            </w:r>
            <w:r w:rsidRPr="00924A4F">
              <w:rPr>
                <w:rFonts w:ascii="Times New Roman" w:eastAsia="Times New Roman" w:hAnsi="Times New Roman" w:cs="Times New Roman"/>
                <w:b/>
                <w:bCs/>
                <w:sz w:val="24"/>
                <w:szCs w:val="24"/>
              </w:rPr>
              <w:t>sociocultural model</w:t>
            </w:r>
            <w:r w:rsidRPr="00924A4F">
              <w:rPr>
                <w:rFonts w:ascii="Times New Roman" w:eastAsia="Times New Roman" w:hAnsi="Times New Roman" w:cs="Times New Roman"/>
                <w:sz w:val="24"/>
                <w:szCs w:val="24"/>
              </w:rPr>
              <w:t>, people are prompted to commit suicide when they are deficient in their social networks and experience feelings of not belonging. Hence, the more social support people perceive they have, or actually do have, in the family, social group, or place of worship, the less likelihood they are to commit suicide. Conversely, people with poor social relationships or feelings of not belonging are more prone to suicide.</w:t>
            </w:r>
          </w:p>
        </w:tc>
      </w:tr>
    </w:tbl>
    <w:p w:rsidR="00924A4F" w:rsidRPr="00924A4F" w:rsidRDefault="00924A4F" w:rsidP="00924A4F">
      <w:pPr>
        <w:spacing w:before="100" w:beforeAutospacing="1" w:after="100" w:afterAutospacing="1" w:line="240" w:lineRule="auto"/>
        <w:outlineLvl w:val="3"/>
        <w:rPr>
          <w:rFonts w:ascii="Verdana" w:eastAsia="Times New Roman" w:hAnsi="Verdana" w:cs="Times New Roman"/>
          <w:b/>
          <w:bCs/>
          <w:color w:val="336699"/>
          <w:sz w:val="25"/>
          <w:szCs w:val="25"/>
        </w:rPr>
      </w:pPr>
      <w:r w:rsidRPr="00924A4F">
        <w:rPr>
          <w:rFonts w:ascii="Verdana" w:eastAsia="Times New Roman" w:hAnsi="Verdana" w:cs="Times New Roman"/>
          <w:b/>
          <w:bCs/>
          <w:color w:val="336699"/>
          <w:sz w:val="25"/>
          <w:szCs w:val="25"/>
        </w:rPr>
        <w:lastRenderedPageBreak/>
        <w:t>Treatment of Suicide Threats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The appropriate treatment of suicide threats must be pluralistic because of the multiple determinants of suicide. Important legal and ethical issues must be addressed. But the main focus, of course, must be on rapid and accurate identification of the potential for suicide. Although prediction can never be an exact science, any error must be on the side of conservatism. That is, even though a particular suicidal idea may be manipulative and dramatic in presentation, the therapist must take the threat seriously and respond appropriately.</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Two central ideas tend to dominate the thoughts of most suicidal patients. For those in whom these two thoughts can be identified, the risk of suicide increases significantly. These two thoughts are:</w:t>
      </w:r>
    </w:p>
    <w:p w:rsidR="00924A4F" w:rsidRPr="00924A4F" w:rsidRDefault="00924A4F" w:rsidP="00924A4F">
      <w:pPr>
        <w:numPr>
          <w:ilvl w:val="0"/>
          <w:numId w:val="1"/>
        </w:numPr>
        <w:spacing w:before="100" w:beforeAutospacing="1" w:after="240"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fascination with death itself, such as enjoying reading or writing poems about it and regularly visiting cemeteries</w:t>
      </w:r>
    </w:p>
    <w:p w:rsidR="00924A4F" w:rsidRPr="00924A4F" w:rsidRDefault="00924A4F" w:rsidP="00924A4F">
      <w:pPr>
        <w:numPr>
          <w:ilvl w:val="0"/>
          <w:numId w:val="1"/>
        </w:num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belief that death brings about reunion with loved ones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Once the degree of seriousness of a suicide threat is assessed, a variety of therapeutic techniques are available. All, however, must be clearly articulated and documented. A behavioral contract through which the patient promises to monitor suicidal thoughts and behavior and keep the therapist closely informed is usually central to the therapeutic interaction. It goes without saying that trust is central in this process.</w:t>
      </w:r>
    </w:p>
    <w:p w:rsidR="00924A4F" w:rsidRPr="00924A4F" w:rsidRDefault="00924A4F" w:rsidP="00924A4F">
      <w:pPr>
        <w:spacing w:before="100" w:beforeAutospacing="1" w:after="100" w:afterAutospacing="1" w:line="240" w:lineRule="auto"/>
        <w:outlineLvl w:val="2"/>
        <w:rPr>
          <w:rFonts w:ascii="Verdana" w:eastAsia="Times New Roman" w:hAnsi="Verdana" w:cs="Times New Roman"/>
          <w:b/>
          <w:bCs/>
          <w:color w:val="336699"/>
          <w:sz w:val="31"/>
          <w:szCs w:val="31"/>
        </w:rPr>
      </w:pPr>
      <w:bookmarkStart w:id="2" w:name="sexual"/>
      <w:bookmarkEnd w:id="2"/>
      <w:r w:rsidRPr="00924A4F">
        <w:rPr>
          <w:rFonts w:ascii="Verdana" w:eastAsia="Times New Roman" w:hAnsi="Verdana" w:cs="Times New Roman"/>
          <w:b/>
          <w:bCs/>
          <w:color w:val="336699"/>
          <w:sz w:val="31"/>
          <w:szCs w:val="31"/>
        </w:rPr>
        <w:t>Sexual Variants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The DSM-IV lists two categories of problematic sexual variants, or sexual variations:</w:t>
      </w:r>
    </w:p>
    <w:p w:rsidR="00924A4F" w:rsidRPr="00924A4F" w:rsidRDefault="00924A4F" w:rsidP="00924A4F">
      <w:pPr>
        <w:numPr>
          <w:ilvl w:val="0"/>
          <w:numId w:val="2"/>
        </w:numPr>
        <w:spacing w:before="100" w:beforeAutospacing="1" w:after="240" w:line="240" w:lineRule="auto"/>
        <w:rPr>
          <w:rFonts w:ascii="Verdana" w:eastAsia="Times New Roman" w:hAnsi="Verdana" w:cs="Times New Roman"/>
          <w:color w:val="000000"/>
          <w:sz w:val="19"/>
          <w:szCs w:val="19"/>
        </w:rPr>
      </w:pPr>
      <w:proofErr w:type="spellStart"/>
      <w:r w:rsidRPr="00924A4F">
        <w:rPr>
          <w:rFonts w:ascii="Verdana" w:eastAsia="Times New Roman" w:hAnsi="Verdana" w:cs="Times New Roman"/>
          <w:b/>
          <w:bCs/>
          <w:color w:val="000000"/>
          <w:sz w:val="19"/>
          <w:szCs w:val="19"/>
        </w:rPr>
        <w:t>Paraphilias</w:t>
      </w:r>
      <w:proofErr w:type="spellEnd"/>
      <w:r w:rsidRPr="00924A4F">
        <w:rPr>
          <w:rFonts w:ascii="Verdana" w:eastAsia="Times New Roman" w:hAnsi="Verdana" w:cs="Times New Roman"/>
          <w:color w:val="000000"/>
          <w:sz w:val="19"/>
          <w:szCs w:val="19"/>
        </w:rPr>
        <w:t> (PAR-ah-FIL-e-</w:t>
      </w:r>
      <w:proofErr w:type="spellStart"/>
      <w:r w:rsidRPr="00924A4F">
        <w:rPr>
          <w:rFonts w:ascii="Verdana" w:eastAsia="Times New Roman" w:hAnsi="Verdana" w:cs="Times New Roman"/>
          <w:color w:val="000000"/>
          <w:sz w:val="19"/>
          <w:szCs w:val="19"/>
        </w:rPr>
        <w:t>uz</w:t>
      </w:r>
      <w:proofErr w:type="spellEnd"/>
      <w:r w:rsidRPr="00924A4F">
        <w:rPr>
          <w:rFonts w:ascii="Verdana" w:eastAsia="Times New Roman" w:hAnsi="Verdana" w:cs="Times New Roman"/>
          <w:color w:val="000000"/>
          <w:sz w:val="19"/>
          <w:szCs w:val="19"/>
        </w:rPr>
        <w:t xml:space="preserve">) are persistent sexual behavior patterns that revolve around abnormal means of achieving sexual arousal or satisfaction or both. Inanimate objects, such as particular items of clothing, are often required. So, often, is human involvement, either forced or voluntary, because people with </w:t>
      </w:r>
      <w:proofErr w:type="spellStart"/>
      <w:r w:rsidRPr="00924A4F">
        <w:rPr>
          <w:rFonts w:ascii="Verdana" w:eastAsia="Times New Roman" w:hAnsi="Verdana" w:cs="Times New Roman"/>
          <w:color w:val="000000"/>
          <w:sz w:val="19"/>
          <w:szCs w:val="19"/>
        </w:rPr>
        <w:t>paraphilias</w:t>
      </w:r>
      <w:proofErr w:type="spellEnd"/>
      <w:r w:rsidRPr="00924A4F">
        <w:rPr>
          <w:rFonts w:ascii="Verdana" w:eastAsia="Times New Roman" w:hAnsi="Verdana" w:cs="Times New Roman"/>
          <w:color w:val="000000"/>
          <w:sz w:val="19"/>
          <w:szCs w:val="19"/>
        </w:rPr>
        <w:t xml:space="preserve"> often need a partner to be part of a ritual or on whom to inflict suffering and humiliation.</w:t>
      </w:r>
    </w:p>
    <w:p w:rsidR="00924A4F" w:rsidRPr="00924A4F" w:rsidRDefault="00924A4F" w:rsidP="00924A4F">
      <w:pPr>
        <w:numPr>
          <w:ilvl w:val="0"/>
          <w:numId w:val="2"/>
        </w:num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Gender identity disorder</w:t>
      </w:r>
      <w:r w:rsidRPr="00924A4F">
        <w:rPr>
          <w:rFonts w:ascii="Verdana" w:eastAsia="Times New Roman" w:hAnsi="Verdana" w:cs="Times New Roman"/>
          <w:color w:val="000000"/>
          <w:sz w:val="19"/>
          <w:szCs w:val="19"/>
        </w:rPr>
        <w:t> is a distinct disorder that is manifested by unhappiness with one's anatomical sex and a strong desire to be a member of the opposite sex. That is, some people feel extreme dissatisfaction and discomfort with their biological sex (the presence of male or female genitalia with corresponding facial hair, body structure, and voice). This inconsistency between physiological sex identification and actual gender identification is diagnosed as a gender identity disorder.</w:t>
      </w:r>
    </w:p>
    <w:p w:rsidR="00924A4F" w:rsidRPr="00924A4F" w:rsidRDefault="00924A4F" w:rsidP="00924A4F">
      <w:pPr>
        <w:spacing w:before="100" w:beforeAutospacing="1" w:after="100" w:afterAutospacing="1" w:line="240" w:lineRule="auto"/>
        <w:outlineLvl w:val="3"/>
        <w:rPr>
          <w:rFonts w:ascii="Verdana" w:eastAsia="Times New Roman" w:hAnsi="Verdana" w:cs="Times New Roman"/>
          <w:b/>
          <w:bCs/>
          <w:color w:val="336699"/>
          <w:sz w:val="25"/>
          <w:szCs w:val="25"/>
        </w:rPr>
      </w:pPr>
      <w:proofErr w:type="spellStart"/>
      <w:r w:rsidRPr="00924A4F">
        <w:rPr>
          <w:rFonts w:ascii="Verdana" w:eastAsia="Times New Roman" w:hAnsi="Verdana" w:cs="Times New Roman"/>
          <w:b/>
          <w:bCs/>
          <w:color w:val="336699"/>
          <w:sz w:val="25"/>
          <w:szCs w:val="25"/>
        </w:rPr>
        <w:t>Paraphilias</w:t>
      </w:r>
      <w:proofErr w:type="spellEnd"/>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lastRenderedPageBreak/>
        <w:t>The word </w:t>
      </w:r>
      <w:r w:rsidRPr="00924A4F">
        <w:rPr>
          <w:rFonts w:ascii="Verdana" w:eastAsia="Times New Roman" w:hAnsi="Verdana" w:cs="Times New Roman"/>
          <w:i/>
          <w:iCs/>
          <w:color w:val="000000"/>
          <w:sz w:val="19"/>
          <w:szCs w:val="19"/>
        </w:rPr>
        <w:t>paraphilia</w:t>
      </w:r>
      <w:r w:rsidRPr="00924A4F">
        <w:rPr>
          <w:rFonts w:ascii="Verdana" w:eastAsia="Times New Roman" w:hAnsi="Verdana" w:cs="Times New Roman"/>
          <w:color w:val="000000"/>
          <w:sz w:val="19"/>
          <w:szCs w:val="19"/>
        </w:rPr>
        <w:t xml:space="preserve"> comes from Greek words meaning "love of the unusual." We don't know how widespread </w:t>
      </w:r>
      <w:proofErr w:type="spellStart"/>
      <w:r w:rsidRPr="00924A4F">
        <w:rPr>
          <w:rFonts w:ascii="Verdana" w:eastAsia="Times New Roman" w:hAnsi="Verdana" w:cs="Times New Roman"/>
          <w:color w:val="000000"/>
          <w:sz w:val="19"/>
          <w:szCs w:val="19"/>
        </w:rPr>
        <w:t>paraphilias</w:t>
      </w:r>
      <w:proofErr w:type="spellEnd"/>
      <w:r w:rsidRPr="00924A4F">
        <w:rPr>
          <w:rFonts w:ascii="Verdana" w:eastAsia="Times New Roman" w:hAnsi="Verdana" w:cs="Times New Roman"/>
          <w:color w:val="000000"/>
          <w:sz w:val="19"/>
          <w:szCs w:val="19"/>
        </w:rPr>
        <w:t xml:space="preserve"> are because the behavior is often private and unreported. Nonetheless, researchers in this field generally believe that the prevalence of </w:t>
      </w:r>
      <w:proofErr w:type="spellStart"/>
      <w:r w:rsidRPr="00924A4F">
        <w:rPr>
          <w:rFonts w:ascii="Verdana" w:eastAsia="Times New Roman" w:hAnsi="Verdana" w:cs="Times New Roman"/>
          <w:color w:val="000000"/>
          <w:sz w:val="19"/>
          <w:szCs w:val="19"/>
        </w:rPr>
        <w:t>paraphilias</w:t>
      </w:r>
      <w:proofErr w:type="spellEnd"/>
      <w:r w:rsidRPr="00924A4F">
        <w:rPr>
          <w:rFonts w:ascii="Verdana" w:eastAsia="Times New Roman" w:hAnsi="Verdana" w:cs="Times New Roman"/>
          <w:color w:val="000000"/>
          <w:sz w:val="19"/>
          <w:szCs w:val="19"/>
        </w:rPr>
        <w:t xml:space="preserve"> is high.</w:t>
      </w:r>
      <w:r w:rsidRPr="00924A4F">
        <w:rPr>
          <w:rFonts w:ascii="Verdana" w:eastAsia="Times New Roman" w:hAnsi="Verdana" w:cs="Times New Roman"/>
          <w:i/>
          <w:iCs/>
          <w:color w:val="000000"/>
          <w:sz w:val="19"/>
          <w:szCs w:val="19"/>
        </w:rPr>
        <w:t> </w:t>
      </w:r>
      <w:r w:rsidRPr="00924A4F">
        <w:rPr>
          <w:rFonts w:ascii="Verdana" w:eastAsia="Times New Roman" w:hAnsi="Verdana" w:cs="Times New Roman"/>
          <w:color w:val="000000"/>
          <w:sz w:val="19"/>
          <w:szCs w:val="19"/>
        </w:rPr>
        <w:t>However, it's not known to what degree they affect people, nor are they well understood.</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Brief experimental or occasional arousal does not constitute cause for alarm as do some </w:t>
      </w:r>
      <w:proofErr w:type="spellStart"/>
      <w:r w:rsidRPr="00924A4F">
        <w:rPr>
          <w:rFonts w:ascii="Verdana" w:eastAsia="Times New Roman" w:hAnsi="Verdana" w:cs="Times New Roman"/>
          <w:color w:val="000000"/>
          <w:sz w:val="19"/>
          <w:szCs w:val="19"/>
        </w:rPr>
        <w:t>paraphilias</w:t>
      </w:r>
      <w:proofErr w:type="spellEnd"/>
      <w:r w:rsidRPr="00924A4F">
        <w:rPr>
          <w:rFonts w:ascii="Verdana" w:eastAsia="Times New Roman" w:hAnsi="Verdana" w:cs="Times New Roman"/>
          <w:color w:val="000000"/>
          <w:sz w:val="19"/>
          <w:szCs w:val="19"/>
        </w:rPr>
        <w:t xml:space="preserve">. For instance fetishes, such as using clothing as part of the sex act, when carried out with a consenting adult, are harmless. In fact, many </w:t>
      </w:r>
      <w:proofErr w:type="spellStart"/>
      <w:r w:rsidRPr="00924A4F">
        <w:rPr>
          <w:rFonts w:ascii="Verdana" w:eastAsia="Times New Roman" w:hAnsi="Verdana" w:cs="Times New Roman"/>
          <w:color w:val="000000"/>
          <w:sz w:val="19"/>
          <w:szCs w:val="19"/>
        </w:rPr>
        <w:t>paraphiliac</w:t>
      </w:r>
      <w:proofErr w:type="spellEnd"/>
      <w:r w:rsidRPr="00924A4F">
        <w:rPr>
          <w:rFonts w:ascii="Verdana" w:eastAsia="Times New Roman" w:hAnsi="Verdana" w:cs="Times New Roman"/>
          <w:color w:val="000000"/>
          <w:sz w:val="19"/>
          <w:szCs w:val="19"/>
        </w:rPr>
        <w:t xml:space="preserve"> behaviors, such as watching X-rated videos, reading X-rated magazines, and using sexual "enhancers" such as electric vibrators, are not officially considered disorders. </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Keep in mind that achieving sexual arousal by abnormal means is not officially considered a paraphilia unless the behavior or thoughts cause significant emotional distress (guilt, shame) or impairment in social, occupational, or other important areas of functioning for the individual. For an official diagnosis of paraphilia, the behavior must have resulted in recurrent, intense sexual urges or behavior for a period of at least six months. However, even the mildest </w:t>
      </w:r>
      <w:proofErr w:type="spellStart"/>
      <w:r w:rsidRPr="00924A4F">
        <w:rPr>
          <w:rFonts w:ascii="Verdana" w:eastAsia="Times New Roman" w:hAnsi="Verdana" w:cs="Times New Roman"/>
          <w:color w:val="000000"/>
          <w:sz w:val="19"/>
          <w:szCs w:val="19"/>
        </w:rPr>
        <w:t>paraphilias</w:t>
      </w:r>
      <w:proofErr w:type="spellEnd"/>
      <w:r w:rsidRPr="00924A4F">
        <w:rPr>
          <w:rFonts w:ascii="Verdana" w:eastAsia="Times New Roman" w:hAnsi="Verdana" w:cs="Times New Roman"/>
          <w:color w:val="000000"/>
          <w:sz w:val="19"/>
          <w:szCs w:val="19"/>
        </w:rPr>
        <w:t xml:space="preserve"> can be extremely serious when nonconsenting adults or children are involved.</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The DSM-IV has identified eight </w:t>
      </w:r>
      <w:proofErr w:type="spellStart"/>
      <w:r w:rsidRPr="00924A4F">
        <w:rPr>
          <w:rFonts w:ascii="Verdana" w:eastAsia="Times New Roman" w:hAnsi="Verdana" w:cs="Times New Roman"/>
          <w:color w:val="000000"/>
          <w:sz w:val="19"/>
          <w:szCs w:val="19"/>
        </w:rPr>
        <w:t>paraphilias</w:t>
      </w:r>
      <w:proofErr w:type="spellEnd"/>
      <w:r w:rsidRPr="00924A4F">
        <w:rPr>
          <w:rFonts w:ascii="Verdana" w:eastAsia="Times New Roman" w:hAnsi="Verdana" w:cs="Times New Roman"/>
          <w:color w:val="000000"/>
          <w:sz w:val="19"/>
          <w:szCs w:val="19"/>
        </w:rPr>
        <w:t>. Each is manifested by indulging in sexually arousing fantasies and experiencing strong sexual urges. We'll discuss each in turn.</w:t>
      </w:r>
    </w:p>
    <w:p w:rsidR="00924A4F" w:rsidRPr="00924A4F" w:rsidRDefault="00924A4F" w:rsidP="00924A4F">
      <w:pPr>
        <w:spacing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1. Fetishism</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Fetishism involves the use or fondling of inanimate objects for sexual arousal. The most common objects for a man are women's clothing, such as shoes, boots, bras, panties, and stockings. Because it is mostly men who are diagnosed with this problem, it's not clear at this time what women with fetishism disorders use.</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2. Transvestite Fetishism</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Transvestite fetishism involves behavior related to cross-dressing, for example, a heterosexual male's wearing women's clothing. Cross-dressing can range from wearing a single article of clothing while alone to dressing completely in women's clothing and wearing it out in public. Although it is mostly men who are diagnosed with this disorder, women may also be transvestites.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hyperlink r:id="rId11" w:history="1">
        <w:r w:rsidRPr="00924A4F">
          <w:rPr>
            <w:rFonts w:ascii="Verdana" w:eastAsia="Times New Roman" w:hAnsi="Verdana" w:cs="Times New Roman"/>
            <w:color w:val="0000FF"/>
            <w:sz w:val="19"/>
            <w:szCs w:val="19"/>
            <w:u w:val="single"/>
          </w:rPr>
          <w:t>How would you distinguish a fetishism disorder and a transvestite fetishism disorder?</w:t>
        </w:r>
      </w:hyperlink>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3. Exhibitionism</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Exhibitionism involves exposing one's genitals to an unsuspecting and unwilling stranger. A high percentage of exhibitionists are married. Exhibitionists do not seem to differ from the general public in intelligence, educational level, or vocation.</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bookmarkStart w:id="3" w:name="_GoBack"/>
      <w:bookmarkEnd w:id="3"/>
      <w:r w:rsidRPr="00924A4F">
        <w:rPr>
          <w:rFonts w:ascii="Verdana" w:eastAsia="Times New Roman" w:hAnsi="Verdana" w:cs="Times New Roman"/>
          <w:b/>
          <w:bCs/>
          <w:color w:val="000000"/>
          <w:sz w:val="19"/>
          <w:szCs w:val="19"/>
        </w:rPr>
        <w:t>4. Voyeurism</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Voyeurism (VWA-YUR-</w:t>
      </w:r>
      <w:proofErr w:type="spellStart"/>
      <w:r w:rsidRPr="00924A4F">
        <w:rPr>
          <w:rFonts w:ascii="Verdana" w:eastAsia="Times New Roman" w:hAnsi="Verdana" w:cs="Times New Roman"/>
          <w:color w:val="000000"/>
          <w:sz w:val="19"/>
          <w:szCs w:val="19"/>
        </w:rPr>
        <w:t>iz</w:t>
      </w:r>
      <w:proofErr w:type="spellEnd"/>
      <w:r w:rsidRPr="00924A4F">
        <w:rPr>
          <w:rFonts w:ascii="Verdana" w:eastAsia="Times New Roman" w:hAnsi="Verdana" w:cs="Times New Roman"/>
          <w:color w:val="000000"/>
          <w:sz w:val="19"/>
          <w:szCs w:val="19"/>
        </w:rPr>
        <w:t xml:space="preserve">-um) entails seeking sexual pleasure by observing unsuspecting people who are naked, undressing, or engaging in sexual activities. Voyeurism is exemplified by the traditional "peeping Tom." The mere act of watching is enough to achieve sexual satisfaction. A huge industry, consisting of producers and purveyors of peep shows and pornographic magazines and movies, has sprung up around voyeurism. As with other </w:t>
      </w:r>
      <w:proofErr w:type="spellStart"/>
      <w:r w:rsidRPr="00924A4F">
        <w:rPr>
          <w:rFonts w:ascii="Verdana" w:eastAsia="Times New Roman" w:hAnsi="Verdana" w:cs="Times New Roman"/>
          <w:color w:val="000000"/>
          <w:sz w:val="19"/>
          <w:szCs w:val="19"/>
        </w:rPr>
        <w:t>paraphilias</w:t>
      </w:r>
      <w:proofErr w:type="spellEnd"/>
      <w:r w:rsidRPr="00924A4F">
        <w:rPr>
          <w:rFonts w:ascii="Verdana" w:eastAsia="Times New Roman" w:hAnsi="Verdana" w:cs="Times New Roman"/>
          <w:color w:val="000000"/>
          <w:sz w:val="19"/>
          <w:szCs w:val="19"/>
        </w:rPr>
        <w:t>, voyeurism is considered a disorder only when it results in distress for the viewer. Obviously, those who realize their privacy has been violated would experience a great deal of emotional distress. </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lastRenderedPageBreak/>
        <w:t xml:space="preserve">5. </w:t>
      </w:r>
      <w:proofErr w:type="spellStart"/>
      <w:r w:rsidRPr="00924A4F">
        <w:rPr>
          <w:rFonts w:ascii="Verdana" w:eastAsia="Times New Roman" w:hAnsi="Verdana" w:cs="Times New Roman"/>
          <w:b/>
          <w:bCs/>
          <w:color w:val="000000"/>
          <w:sz w:val="19"/>
          <w:szCs w:val="19"/>
        </w:rPr>
        <w:t>Frotteurism</w:t>
      </w:r>
      <w:proofErr w:type="spellEnd"/>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proofErr w:type="spellStart"/>
      <w:r w:rsidRPr="00924A4F">
        <w:rPr>
          <w:rFonts w:ascii="Verdana" w:eastAsia="Times New Roman" w:hAnsi="Verdana" w:cs="Times New Roman"/>
          <w:color w:val="000000"/>
          <w:sz w:val="19"/>
          <w:szCs w:val="19"/>
        </w:rPr>
        <w:t>Frotteurism</w:t>
      </w:r>
      <w:proofErr w:type="spellEnd"/>
      <w:r w:rsidRPr="00924A4F">
        <w:rPr>
          <w:rFonts w:ascii="Verdana" w:eastAsia="Times New Roman" w:hAnsi="Verdana" w:cs="Times New Roman"/>
          <w:color w:val="000000"/>
          <w:sz w:val="19"/>
          <w:szCs w:val="19"/>
        </w:rPr>
        <w:t xml:space="preserve"> (FRAH-TUR-</w:t>
      </w:r>
      <w:proofErr w:type="spellStart"/>
      <w:r w:rsidRPr="00924A4F">
        <w:rPr>
          <w:rFonts w:ascii="Verdana" w:eastAsia="Times New Roman" w:hAnsi="Verdana" w:cs="Times New Roman"/>
          <w:color w:val="000000"/>
          <w:sz w:val="19"/>
          <w:szCs w:val="19"/>
        </w:rPr>
        <w:t>iz</w:t>
      </w:r>
      <w:proofErr w:type="spellEnd"/>
      <w:r w:rsidRPr="00924A4F">
        <w:rPr>
          <w:rFonts w:ascii="Verdana" w:eastAsia="Times New Roman" w:hAnsi="Verdana" w:cs="Times New Roman"/>
          <w:color w:val="000000"/>
          <w:sz w:val="19"/>
          <w:szCs w:val="19"/>
        </w:rPr>
        <w:t>-um) involves touching and rubbing against a nonconsenting person. The touching or rubbing is usually done in crowded places, such as stores, shopping malls, and buses, where it could be construed as simply bumping into someone. For instance, a man might rub his genitals against a woman's thigh while standing on a crowded bus.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6. Pedophilia</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Pedophilia (PED-oh-FEEL-e-uh) is engaging in sexual behavior with a prepubescent child. In the majority of cases, the child is younger than 12. Pedophiliacs are often attracted to both boys and girls. Many child molesters are otherwise respectable and law-abiding citizens who began molestation as teenagers.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7. Sexual Masochism</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Sexual masochism (MAS-uh-</w:t>
      </w:r>
      <w:proofErr w:type="spellStart"/>
      <w:r w:rsidRPr="00924A4F">
        <w:rPr>
          <w:rFonts w:ascii="Verdana" w:eastAsia="Times New Roman" w:hAnsi="Verdana" w:cs="Times New Roman"/>
          <w:color w:val="000000"/>
          <w:sz w:val="19"/>
          <w:szCs w:val="19"/>
        </w:rPr>
        <w:t>kiz</w:t>
      </w:r>
      <w:proofErr w:type="spellEnd"/>
      <w:r w:rsidRPr="00924A4F">
        <w:rPr>
          <w:rFonts w:ascii="Verdana" w:eastAsia="Times New Roman" w:hAnsi="Verdana" w:cs="Times New Roman"/>
          <w:color w:val="000000"/>
          <w:sz w:val="19"/>
          <w:szCs w:val="19"/>
        </w:rPr>
        <w:t>-um) involves allowing oneself to be humiliated or made to suffer. Sexual masochists derive great sexual pleasure from being abused, often verbally with some form of humiliation. More often, the abuse is physical and entails being bound, beaten, or tortured. Abuse and humiliation are often carried out to achieve direct sexual arousal as an end in itself or to stimulate arousal during sexual intercourse.</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8. Sexual Sadism</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Sexual sadism (SA-</w:t>
      </w:r>
      <w:proofErr w:type="spellStart"/>
      <w:r w:rsidRPr="00924A4F">
        <w:rPr>
          <w:rFonts w:ascii="Verdana" w:eastAsia="Times New Roman" w:hAnsi="Verdana" w:cs="Times New Roman"/>
          <w:color w:val="000000"/>
          <w:sz w:val="19"/>
          <w:szCs w:val="19"/>
        </w:rPr>
        <w:t>diz</w:t>
      </w:r>
      <w:proofErr w:type="spellEnd"/>
      <w:r w:rsidRPr="00924A4F">
        <w:rPr>
          <w:rFonts w:ascii="Verdana" w:eastAsia="Times New Roman" w:hAnsi="Verdana" w:cs="Times New Roman"/>
          <w:color w:val="000000"/>
          <w:sz w:val="19"/>
          <w:szCs w:val="19"/>
        </w:rPr>
        <w:t>-um) is manifested by causing psychological or physical suffering to someone so that one can become sexually excited or satisfied. This condition is the exact opposite of sexual masochism in that the person achieves sexual arousal by causing others to suffer.</w:t>
      </w:r>
    </w:p>
    <w:p w:rsidR="00924A4F" w:rsidRPr="00924A4F" w:rsidRDefault="00924A4F" w:rsidP="00924A4F">
      <w:pPr>
        <w:spacing w:before="100" w:beforeAutospacing="1" w:after="100" w:afterAutospacing="1" w:line="240" w:lineRule="auto"/>
        <w:outlineLvl w:val="4"/>
        <w:rPr>
          <w:rFonts w:ascii="Verdana" w:eastAsia="Times New Roman" w:hAnsi="Verdana" w:cs="Times New Roman"/>
          <w:b/>
          <w:bCs/>
          <w:color w:val="336699"/>
          <w:sz w:val="19"/>
          <w:szCs w:val="19"/>
        </w:rPr>
      </w:pPr>
      <w:r w:rsidRPr="00924A4F">
        <w:rPr>
          <w:rFonts w:ascii="Verdana" w:eastAsia="Times New Roman" w:hAnsi="Verdana" w:cs="Times New Roman"/>
          <w:b/>
          <w:bCs/>
          <w:color w:val="336699"/>
          <w:sz w:val="19"/>
          <w:szCs w:val="19"/>
        </w:rPr>
        <w:t xml:space="preserve">Explanations of </w:t>
      </w:r>
      <w:proofErr w:type="spellStart"/>
      <w:r w:rsidRPr="00924A4F">
        <w:rPr>
          <w:rFonts w:ascii="Verdana" w:eastAsia="Times New Roman" w:hAnsi="Verdana" w:cs="Times New Roman"/>
          <w:b/>
          <w:bCs/>
          <w:color w:val="336699"/>
          <w:sz w:val="19"/>
          <w:szCs w:val="19"/>
        </w:rPr>
        <w:t>Paraphilias</w:t>
      </w:r>
      <w:proofErr w:type="spellEnd"/>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Each of the perspectives mentioned below merely suggests causes at this time. It seems that a number of complex factors must be present for a paraphilia to become full-blown. Who develops a full-fledged </w:t>
      </w:r>
      <w:proofErr w:type="spellStart"/>
      <w:r w:rsidRPr="00924A4F">
        <w:rPr>
          <w:rFonts w:ascii="Verdana" w:eastAsia="Times New Roman" w:hAnsi="Verdana" w:cs="Times New Roman"/>
          <w:color w:val="000000"/>
          <w:sz w:val="19"/>
          <w:szCs w:val="19"/>
        </w:rPr>
        <w:t>paraphiliac</w:t>
      </w:r>
      <w:proofErr w:type="spellEnd"/>
      <w:r w:rsidRPr="00924A4F">
        <w:rPr>
          <w:rFonts w:ascii="Verdana" w:eastAsia="Times New Roman" w:hAnsi="Verdana" w:cs="Times New Roman"/>
          <w:color w:val="000000"/>
          <w:sz w:val="19"/>
          <w:szCs w:val="19"/>
        </w:rPr>
        <w:t xml:space="preserve"> disorder may be determined by the type, intensity, and frequency of past sexual experiences and the individual's reaction to those experiences regardless of current sexual practices. We need additional research.</w:t>
      </w:r>
    </w:p>
    <w:tbl>
      <w:tblPr>
        <w:tblW w:w="4500" w:type="pct"/>
        <w:jc w:val="center"/>
        <w:tblCellSpacing w:w="7" w:type="dxa"/>
        <w:tblBorders>
          <w:top w:val="outset" w:sz="6" w:space="0" w:color="auto"/>
          <w:left w:val="outset" w:sz="6" w:space="0" w:color="auto"/>
          <w:bottom w:val="outset" w:sz="6" w:space="0" w:color="auto"/>
          <w:right w:val="outset" w:sz="6" w:space="0" w:color="auto"/>
        </w:tblBorders>
        <w:shd w:val="clear" w:color="auto" w:fill="F0FFFF"/>
        <w:tblCellMar>
          <w:top w:w="75" w:type="dxa"/>
          <w:left w:w="75" w:type="dxa"/>
          <w:bottom w:w="75" w:type="dxa"/>
          <w:right w:w="75" w:type="dxa"/>
        </w:tblCellMar>
        <w:tblLook w:val="04A0" w:firstRow="1" w:lastRow="0" w:firstColumn="1" w:lastColumn="0" w:noHBand="0" w:noVBand="1"/>
      </w:tblPr>
      <w:tblGrid>
        <w:gridCol w:w="8410"/>
      </w:tblGrid>
      <w:tr w:rsidR="00924A4F" w:rsidRPr="00924A4F" w:rsidTr="00924A4F">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FFF"/>
            <w:hideMark/>
          </w:tcPr>
          <w:p w:rsidR="00924A4F" w:rsidRPr="00924A4F" w:rsidRDefault="00924A4F" w:rsidP="00924A4F">
            <w:pPr>
              <w:spacing w:after="0" w:line="240" w:lineRule="auto"/>
              <w:rPr>
                <w:rFonts w:ascii="Times New Roman" w:eastAsia="Times New Roman" w:hAnsi="Times New Roman" w:cs="Times New Roman"/>
                <w:sz w:val="24"/>
                <w:szCs w:val="24"/>
              </w:rPr>
            </w:pPr>
            <w:r w:rsidRPr="00924A4F">
              <w:rPr>
                <w:rFonts w:ascii="Times New Roman" w:eastAsia="Times New Roman" w:hAnsi="Times New Roman" w:cs="Times New Roman"/>
                <w:sz w:val="24"/>
                <w:szCs w:val="24"/>
              </w:rPr>
              <w:t>According to the </w:t>
            </w:r>
            <w:r w:rsidRPr="00924A4F">
              <w:rPr>
                <w:rFonts w:ascii="Times New Roman" w:eastAsia="Times New Roman" w:hAnsi="Times New Roman" w:cs="Times New Roman"/>
                <w:b/>
                <w:bCs/>
                <w:sz w:val="24"/>
                <w:szCs w:val="24"/>
              </w:rPr>
              <w:t>biological model</w:t>
            </w:r>
            <w:r w:rsidRPr="00924A4F">
              <w:rPr>
                <w:rFonts w:ascii="Times New Roman" w:eastAsia="Times New Roman" w:hAnsi="Times New Roman" w:cs="Times New Roman"/>
                <w:sz w:val="24"/>
                <w:szCs w:val="24"/>
              </w:rPr>
              <w:t>, androgen, a male hormone, may not have been supplied at appropriate levels during fetal development.</w:t>
            </w:r>
          </w:p>
          <w:p w:rsidR="00924A4F" w:rsidRPr="00924A4F" w:rsidRDefault="00924A4F" w:rsidP="00924A4F">
            <w:pPr>
              <w:spacing w:before="100" w:beforeAutospacing="1" w:after="100" w:afterAutospacing="1" w:line="240" w:lineRule="auto"/>
              <w:rPr>
                <w:rFonts w:ascii="Times New Roman" w:eastAsia="Times New Roman" w:hAnsi="Times New Roman" w:cs="Times New Roman"/>
                <w:sz w:val="24"/>
                <w:szCs w:val="24"/>
              </w:rPr>
            </w:pPr>
            <w:r w:rsidRPr="00924A4F">
              <w:rPr>
                <w:rFonts w:ascii="Times New Roman" w:eastAsia="Times New Roman" w:hAnsi="Times New Roman" w:cs="Times New Roman"/>
                <w:sz w:val="24"/>
                <w:szCs w:val="24"/>
              </w:rPr>
              <w:t>According to the </w:t>
            </w:r>
            <w:r w:rsidRPr="00924A4F">
              <w:rPr>
                <w:rFonts w:ascii="Times New Roman" w:eastAsia="Times New Roman" w:hAnsi="Times New Roman" w:cs="Times New Roman"/>
                <w:b/>
                <w:bCs/>
                <w:sz w:val="24"/>
                <w:szCs w:val="24"/>
              </w:rPr>
              <w:t>psychodynamic model</w:t>
            </w:r>
            <w:r w:rsidRPr="00924A4F">
              <w:rPr>
                <w:rFonts w:ascii="Times New Roman" w:eastAsia="Times New Roman" w:hAnsi="Times New Roman" w:cs="Times New Roman"/>
                <w:sz w:val="24"/>
                <w:szCs w:val="24"/>
              </w:rPr>
              <w:t xml:space="preserve">, </w:t>
            </w:r>
            <w:proofErr w:type="spellStart"/>
            <w:r w:rsidRPr="00924A4F">
              <w:rPr>
                <w:rFonts w:ascii="Times New Roman" w:eastAsia="Times New Roman" w:hAnsi="Times New Roman" w:cs="Times New Roman"/>
                <w:sz w:val="24"/>
                <w:szCs w:val="24"/>
              </w:rPr>
              <w:t>paraphilias</w:t>
            </w:r>
            <w:proofErr w:type="spellEnd"/>
            <w:r w:rsidRPr="00924A4F">
              <w:rPr>
                <w:rFonts w:ascii="Times New Roman" w:eastAsia="Times New Roman" w:hAnsi="Times New Roman" w:cs="Times New Roman"/>
                <w:sz w:val="24"/>
                <w:szCs w:val="24"/>
              </w:rPr>
              <w:t xml:space="preserve"> are defensive; they guard the ego against repressed fears and memories and thoughts that induce fear of normal sexual relations.</w:t>
            </w:r>
          </w:p>
          <w:p w:rsidR="00924A4F" w:rsidRPr="00924A4F" w:rsidRDefault="00924A4F" w:rsidP="00924A4F">
            <w:pPr>
              <w:spacing w:before="100" w:beforeAutospacing="1" w:after="100" w:afterAutospacing="1" w:line="240" w:lineRule="auto"/>
              <w:rPr>
                <w:rFonts w:ascii="Times New Roman" w:eastAsia="Times New Roman" w:hAnsi="Times New Roman" w:cs="Times New Roman"/>
                <w:sz w:val="24"/>
                <w:szCs w:val="24"/>
              </w:rPr>
            </w:pPr>
            <w:r w:rsidRPr="00924A4F">
              <w:rPr>
                <w:rFonts w:ascii="Times New Roman" w:eastAsia="Times New Roman" w:hAnsi="Times New Roman" w:cs="Times New Roman"/>
                <w:sz w:val="24"/>
                <w:szCs w:val="24"/>
              </w:rPr>
              <w:t>According to the </w:t>
            </w:r>
            <w:r w:rsidRPr="00924A4F">
              <w:rPr>
                <w:rFonts w:ascii="Times New Roman" w:eastAsia="Times New Roman" w:hAnsi="Times New Roman" w:cs="Times New Roman"/>
                <w:b/>
                <w:bCs/>
                <w:sz w:val="24"/>
                <w:szCs w:val="24"/>
              </w:rPr>
              <w:t>behavioral model</w:t>
            </w:r>
            <w:r w:rsidRPr="00924A4F">
              <w:rPr>
                <w:rFonts w:ascii="Times New Roman" w:eastAsia="Times New Roman" w:hAnsi="Times New Roman" w:cs="Times New Roman"/>
                <w:sz w:val="24"/>
                <w:szCs w:val="24"/>
              </w:rPr>
              <w:t xml:space="preserve">, classical conditioning has inadvertently linked sexual arousal with what many would consider highly unusual stimuli. For example, a young man may masturbate while looking at a picture of a naked woman in black leather boots; thus, repetition of this behavior endows boots with sexually arousing </w:t>
            </w:r>
            <w:r w:rsidRPr="00924A4F">
              <w:rPr>
                <w:rFonts w:ascii="Times New Roman" w:eastAsia="Times New Roman" w:hAnsi="Times New Roman" w:cs="Times New Roman"/>
                <w:sz w:val="24"/>
                <w:szCs w:val="24"/>
              </w:rPr>
              <w:lastRenderedPageBreak/>
              <w:t xml:space="preserve">properties for him. Frustration and anxiety have also been suggested as influencing </w:t>
            </w:r>
            <w:proofErr w:type="spellStart"/>
            <w:r w:rsidRPr="00924A4F">
              <w:rPr>
                <w:rFonts w:ascii="Times New Roman" w:eastAsia="Times New Roman" w:hAnsi="Times New Roman" w:cs="Times New Roman"/>
                <w:sz w:val="24"/>
                <w:szCs w:val="24"/>
              </w:rPr>
              <w:t>paraphilias</w:t>
            </w:r>
            <w:proofErr w:type="spellEnd"/>
            <w:r w:rsidRPr="00924A4F">
              <w:rPr>
                <w:rFonts w:ascii="Times New Roman" w:eastAsia="Times New Roman" w:hAnsi="Times New Roman" w:cs="Times New Roman"/>
                <w:sz w:val="24"/>
                <w:szCs w:val="24"/>
              </w:rPr>
              <w:t>.</w:t>
            </w:r>
          </w:p>
          <w:p w:rsidR="00924A4F" w:rsidRPr="00924A4F" w:rsidRDefault="00924A4F" w:rsidP="00924A4F">
            <w:pPr>
              <w:spacing w:before="100" w:beforeAutospacing="1" w:after="100" w:afterAutospacing="1" w:line="240" w:lineRule="auto"/>
              <w:rPr>
                <w:rFonts w:ascii="Times New Roman" w:eastAsia="Times New Roman" w:hAnsi="Times New Roman" w:cs="Times New Roman"/>
                <w:sz w:val="24"/>
                <w:szCs w:val="24"/>
              </w:rPr>
            </w:pPr>
            <w:r w:rsidRPr="00924A4F">
              <w:rPr>
                <w:rFonts w:ascii="Times New Roman" w:eastAsia="Times New Roman" w:hAnsi="Times New Roman" w:cs="Times New Roman"/>
                <w:sz w:val="24"/>
                <w:szCs w:val="24"/>
              </w:rPr>
              <w:t>According to the </w:t>
            </w:r>
            <w:r w:rsidRPr="00924A4F">
              <w:rPr>
                <w:rFonts w:ascii="Times New Roman" w:eastAsia="Times New Roman" w:hAnsi="Times New Roman" w:cs="Times New Roman"/>
                <w:b/>
                <w:bCs/>
                <w:sz w:val="24"/>
                <w:szCs w:val="24"/>
              </w:rPr>
              <w:t>sociocultural model</w:t>
            </w:r>
            <w:r w:rsidRPr="00924A4F">
              <w:rPr>
                <w:rFonts w:ascii="Times New Roman" w:eastAsia="Times New Roman" w:hAnsi="Times New Roman" w:cs="Times New Roman"/>
                <w:sz w:val="24"/>
                <w:szCs w:val="24"/>
              </w:rPr>
              <w:t xml:space="preserve">, </w:t>
            </w:r>
            <w:proofErr w:type="spellStart"/>
            <w:r w:rsidRPr="00924A4F">
              <w:rPr>
                <w:rFonts w:ascii="Times New Roman" w:eastAsia="Times New Roman" w:hAnsi="Times New Roman" w:cs="Times New Roman"/>
                <w:sz w:val="24"/>
                <w:szCs w:val="24"/>
              </w:rPr>
              <w:t>paraphilias</w:t>
            </w:r>
            <w:proofErr w:type="spellEnd"/>
            <w:r w:rsidRPr="00924A4F">
              <w:rPr>
                <w:rFonts w:ascii="Times New Roman" w:eastAsia="Times New Roman" w:hAnsi="Times New Roman" w:cs="Times New Roman"/>
                <w:sz w:val="24"/>
                <w:szCs w:val="24"/>
              </w:rPr>
              <w:t xml:space="preserve"> may be the result of inadequate social skills.</w:t>
            </w:r>
          </w:p>
        </w:tc>
      </w:tr>
    </w:tbl>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lastRenderedPageBreak/>
        <w:t xml:space="preserve">Effective treatment of </w:t>
      </w:r>
      <w:proofErr w:type="spellStart"/>
      <w:r w:rsidRPr="00924A4F">
        <w:rPr>
          <w:rFonts w:ascii="Verdana" w:eastAsia="Times New Roman" w:hAnsi="Verdana" w:cs="Times New Roman"/>
          <w:color w:val="000000"/>
          <w:sz w:val="19"/>
          <w:szCs w:val="19"/>
        </w:rPr>
        <w:t>paraphilias</w:t>
      </w:r>
      <w:proofErr w:type="spellEnd"/>
      <w:r w:rsidRPr="00924A4F">
        <w:rPr>
          <w:rFonts w:ascii="Verdana" w:eastAsia="Times New Roman" w:hAnsi="Verdana" w:cs="Times New Roman"/>
          <w:color w:val="000000"/>
          <w:sz w:val="19"/>
          <w:szCs w:val="19"/>
        </w:rPr>
        <w:t xml:space="preserve"> requires highly specialized skills and training. Most clinical psychologists lack the necessary degree of specific training to be effective. Treatment generally takes place in sexual disorder clinics with professionals trained and experienced in dealing with </w:t>
      </w:r>
      <w:proofErr w:type="spellStart"/>
      <w:r w:rsidRPr="00924A4F">
        <w:rPr>
          <w:rFonts w:ascii="Verdana" w:eastAsia="Times New Roman" w:hAnsi="Verdana" w:cs="Times New Roman"/>
          <w:color w:val="000000"/>
          <w:sz w:val="19"/>
          <w:szCs w:val="19"/>
        </w:rPr>
        <w:t>paraphilias</w:t>
      </w:r>
      <w:proofErr w:type="spellEnd"/>
      <w:r w:rsidRPr="00924A4F">
        <w:rPr>
          <w:rFonts w:ascii="Verdana" w:eastAsia="Times New Roman" w:hAnsi="Verdana" w:cs="Times New Roman"/>
          <w:color w:val="000000"/>
          <w:sz w:val="19"/>
          <w:szCs w:val="19"/>
        </w:rPr>
        <w:t xml:space="preserve">. Masters and Johnson were probably the most famous clinicians in this area. Although the prognosis in this area is relatively poor because of recidivism, some long-term treatment programs enable clients to reach satisfactory levels of recovery. Many clinicians treat </w:t>
      </w:r>
      <w:proofErr w:type="spellStart"/>
      <w:r w:rsidRPr="00924A4F">
        <w:rPr>
          <w:rFonts w:ascii="Verdana" w:eastAsia="Times New Roman" w:hAnsi="Verdana" w:cs="Times New Roman"/>
          <w:color w:val="000000"/>
          <w:sz w:val="19"/>
          <w:szCs w:val="19"/>
        </w:rPr>
        <w:t>paraphilias</w:t>
      </w:r>
      <w:proofErr w:type="spellEnd"/>
      <w:r w:rsidRPr="00924A4F">
        <w:rPr>
          <w:rFonts w:ascii="Verdana" w:eastAsia="Times New Roman" w:hAnsi="Verdana" w:cs="Times New Roman"/>
          <w:color w:val="000000"/>
          <w:sz w:val="19"/>
          <w:szCs w:val="19"/>
        </w:rPr>
        <w:t xml:space="preserve"> as aberrant forms of addiction in general. This focus has created a variety of support groups to deal with </w:t>
      </w:r>
      <w:proofErr w:type="spellStart"/>
      <w:r w:rsidRPr="00924A4F">
        <w:rPr>
          <w:rFonts w:ascii="Verdana" w:eastAsia="Times New Roman" w:hAnsi="Verdana" w:cs="Times New Roman"/>
          <w:color w:val="000000"/>
          <w:sz w:val="19"/>
          <w:szCs w:val="19"/>
        </w:rPr>
        <w:t>paraphilias</w:t>
      </w:r>
      <w:proofErr w:type="spellEnd"/>
      <w:r w:rsidRPr="00924A4F">
        <w:rPr>
          <w:rFonts w:ascii="Verdana" w:eastAsia="Times New Roman" w:hAnsi="Verdana" w:cs="Times New Roman"/>
          <w:color w:val="000000"/>
          <w:sz w:val="19"/>
          <w:szCs w:val="19"/>
        </w:rPr>
        <w:t>.</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An extremely encouraging treatment approach has been the identification and empowerment of victims as a part of the recovery program. Sexual offenders in treatment programs are often asked to learn their victims' point of view and develop a degree of empathy toward them. This seems to be an effective treatment technique and, even more important, it seems to diminish recidivism.</w:t>
      </w:r>
    </w:p>
    <w:p w:rsidR="00924A4F" w:rsidRPr="00924A4F" w:rsidRDefault="00924A4F" w:rsidP="00924A4F">
      <w:pPr>
        <w:spacing w:before="100" w:beforeAutospacing="1" w:after="100" w:afterAutospacing="1" w:line="240" w:lineRule="auto"/>
        <w:outlineLvl w:val="3"/>
        <w:rPr>
          <w:rFonts w:ascii="Verdana" w:eastAsia="Times New Roman" w:hAnsi="Verdana" w:cs="Times New Roman"/>
          <w:b/>
          <w:bCs/>
          <w:color w:val="336699"/>
          <w:sz w:val="25"/>
          <w:szCs w:val="25"/>
        </w:rPr>
      </w:pPr>
      <w:r w:rsidRPr="00924A4F">
        <w:rPr>
          <w:rFonts w:ascii="Verdana" w:eastAsia="Times New Roman" w:hAnsi="Verdana" w:cs="Times New Roman"/>
          <w:b/>
          <w:bCs/>
          <w:color w:val="336699"/>
          <w:sz w:val="25"/>
          <w:szCs w:val="25"/>
        </w:rPr>
        <w:t>Gender Identity Disorder</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People with gender identity disorder often experience a great deal of conflict about their gender because they wish to be the opposite sex. Many times, the conflict or incongruence is mild and involves mere displeasure with one's gender. For some people, however, the conflict is strong, and they feel trapped in the wrong body—a man in a woman's body or a woman in a man's. Men are diagnosed with this disorder twice as much as women.</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People with gender identity disorder often go to great lengths to alter their secondary sexual characteristics and at times even their primary ones. Some people with this disorder dress in the clothing of the opposite sex.</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Two types of therapies are used for those with this disorder: (1) altering the body to suit the person's preference and (2) attempting to alter the person's outlook to suit the person's body. The physical therapy includes hormone treatments and sex-change operations. Psychological therapies consist of instructing patients to adopt gender-specific roles to discourage acting out opposite-sex roles. A form of behavioral therapy called </w:t>
      </w:r>
      <w:r w:rsidRPr="00924A4F">
        <w:rPr>
          <w:rFonts w:ascii="Verdana" w:eastAsia="Times New Roman" w:hAnsi="Verdana" w:cs="Times New Roman"/>
          <w:b/>
          <w:bCs/>
          <w:color w:val="000000"/>
          <w:sz w:val="19"/>
          <w:szCs w:val="19"/>
        </w:rPr>
        <w:t>aversive therapy</w:t>
      </w:r>
      <w:r w:rsidRPr="00924A4F">
        <w:rPr>
          <w:rFonts w:ascii="Verdana" w:eastAsia="Times New Roman" w:hAnsi="Verdana" w:cs="Times New Roman"/>
          <w:color w:val="000000"/>
          <w:sz w:val="19"/>
          <w:szCs w:val="19"/>
        </w:rPr>
        <w:t> pairs images and fantasies with same-sex patients, complemented by aversion therapy to reduce the attractiveness of the inappropriate male or female images and fantasies.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Some patients refuse psychological therapy unless they receive sex-change operations. Others do consent to psychological therapy alone, with mixed results.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Article 29 (Lanyon) in your Hooley, Neale, and Davison reader reviews the current treatment methods for people who have engaged in child molestation. The author describes the characteristics of child molesters and assessment devices. He also discusses types of treatments, suggesting that the best are the family systems approach and behavioral therapy.</w:t>
      </w:r>
    </w:p>
    <w:tbl>
      <w:tblPr>
        <w:tblW w:w="4500" w:type="pct"/>
        <w:jc w:val="center"/>
        <w:tblCellSpacing w:w="7" w:type="dxa"/>
        <w:tblBorders>
          <w:top w:val="outset" w:sz="6" w:space="0" w:color="auto"/>
          <w:left w:val="outset" w:sz="6" w:space="0" w:color="auto"/>
          <w:bottom w:val="outset" w:sz="6" w:space="0" w:color="auto"/>
          <w:right w:val="outset" w:sz="6" w:space="0" w:color="auto"/>
        </w:tblBorders>
        <w:shd w:val="clear" w:color="auto" w:fill="F0FFFF"/>
        <w:tblCellMar>
          <w:top w:w="75" w:type="dxa"/>
          <w:left w:w="75" w:type="dxa"/>
          <w:bottom w:w="75" w:type="dxa"/>
          <w:right w:w="75" w:type="dxa"/>
        </w:tblCellMar>
        <w:tblLook w:val="04A0" w:firstRow="1" w:lastRow="0" w:firstColumn="1" w:lastColumn="0" w:noHBand="0" w:noVBand="1"/>
      </w:tblPr>
      <w:tblGrid>
        <w:gridCol w:w="8410"/>
      </w:tblGrid>
      <w:tr w:rsidR="00924A4F" w:rsidRPr="00924A4F" w:rsidTr="00924A4F">
        <w:trPr>
          <w:tblCellSpacing w:w="7"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FFF"/>
            <w:hideMark/>
          </w:tcPr>
          <w:p w:rsidR="00924A4F" w:rsidRPr="00924A4F" w:rsidRDefault="00924A4F" w:rsidP="00924A4F">
            <w:pPr>
              <w:spacing w:after="0" w:line="240" w:lineRule="auto"/>
              <w:rPr>
                <w:rFonts w:ascii="Times New Roman" w:eastAsia="Times New Roman" w:hAnsi="Times New Roman" w:cs="Times New Roman"/>
                <w:sz w:val="24"/>
                <w:szCs w:val="24"/>
              </w:rPr>
            </w:pPr>
            <w:r w:rsidRPr="00924A4F">
              <w:rPr>
                <w:rFonts w:ascii="Times New Roman" w:eastAsia="Times New Roman" w:hAnsi="Times New Roman" w:cs="Times New Roman"/>
                <w:sz w:val="24"/>
                <w:szCs w:val="24"/>
              </w:rPr>
              <w:lastRenderedPageBreak/>
              <w:t>There is nothing to link gender identity disorder to any one explanatory theory. The debate about its origins continues much like the homosexual debate.</w:t>
            </w:r>
          </w:p>
        </w:tc>
      </w:tr>
    </w:tbl>
    <w:p w:rsidR="00924A4F" w:rsidRPr="00924A4F" w:rsidRDefault="00924A4F" w:rsidP="00924A4F">
      <w:pPr>
        <w:spacing w:before="100" w:beforeAutospacing="1" w:after="100" w:afterAutospacing="1" w:line="240" w:lineRule="auto"/>
        <w:outlineLvl w:val="2"/>
        <w:rPr>
          <w:rFonts w:ascii="Verdana" w:eastAsia="Times New Roman" w:hAnsi="Verdana" w:cs="Times New Roman"/>
          <w:b/>
          <w:bCs/>
          <w:color w:val="336699"/>
          <w:sz w:val="31"/>
          <w:szCs w:val="31"/>
        </w:rPr>
      </w:pPr>
      <w:bookmarkStart w:id="4" w:name="sibling"/>
      <w:bookmarkEnd w:id="4"/>
      <w:r w:rsidRPr="00924A4F">
        <w:rPr>
          <w:rFonts w:ascii="Verdana" w:eastAsia="Times New Roman" w:hAnsi="Verdana" w:cs="Times New Roman"/>
          <w:b/>
          <w:bCs/>
          <w:color w:val="336699"/>
          <w:sz w:val="31"/>
          <w:szCs w:val="31"/>
        </w:rPr>
        <w:t>Sibling Relationships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Sibling relationships have gained importance in psychopathology because of our increased understanding that these relationships, like parental relationships, are a laboratory for applying interpersonal skills, and that sibling relationships are so often the longest lasting of all human relationships. </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Thus, siblings are among the most significant of "significant others" in our lives. Yet, we really have no conceptual framework to use when looking at the rich tapestry of sibling interconnections.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Sometimes, siblings bond from their very first days together in the family. Other times, sibling competition for parental love and approval leads to dysfunction, and the family resembles a battlefield. When sibling relationships are disrupted because of feuds, ultimatums, or threats, the effects are toxic and permeate the entire family network. Truncated emotional relationships affect the current generation and, tragically, subsequent ones as well. </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We relive and </w:t>
      </w:r>
      <w:proofErr w:type="spellStart"/>
      <w:r w:rsidRPr="00924A4F">
        <w:rPr>
          <w:rFonts w:ascii="Verdana" w:eastAsia="Times New Roman" w:hAnsi="Verdana" w:cs="Times New Roman"/>
          <w:color w:val="000000"/>
          <w:sz w:val="19"/>
          <w:szCs w:val="19"/>
        </w:rPr>
        <w:t>reexperience</w:t>
      </w:r>
      <w:proofErr w:type="spellEnd"/>
      <w:r w:rsidRPr="00924A4F">
        <w:rPr>
          <w:rFonts w:ascii="Verdana" w:eastAsia="Times New Roman" w:hAnsi="Verdana" w:cs="Times New Roman"/>
          <w:color w:val="000000"/>
          <w:sz w:val="19"/>
          <w:szCs w:val="19"/>
        </w:rPr>
        <w:t xml:space="preserve"> our sibling relationships, like our parental ones, in every conceivable social combination, with coworkers, friends, lovers, and others. Sometimes we're aware of this. Most often, we aren't.</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Listen now to a discussion by Dr. </w:t>
      </w:r>
      <w:proofErr w:type="spellStart"/>
      <w:r w:rsidRPr="00924A4F">
        <w:rPr>
          <w:rFonts w:ascii="Verdana" w:eastAsia="Times New Roman" w:hAnsi="Verdana" w:cs="Times New Roman"/>
          <w:color w:val="000000"/>
          <w:sz w:val="19"/>
          <w:szCs w:val="19"/>
        </w:rPr>
        <w:t>Breeskin</w:t>
      </w:r>
      <w:proofErr w:type="spellEnd"/>
      <w:r w:rsidRPr="00924A4F">
        <w:rPr>
          <w:rFonts w:ascii="Verdana" w:eastAsia="Times New Roman" w:hAnsi="Verdana" w:cs="Times New Roman"/>
          <w:color w:val="000000"/>
          <w:sz w:val="19"/>
          <w:szCs w:val="19"/>
        </w:rPr>
        <w:t xml:space="preserve"> on the power of relationships with significant others and siblings in the context of the client's support network. Click on </w:t>
      </w:r>
      <w:r w:rsidRPr="00924A4F">
        <w:rPr>
          <w:rFonts w:ascii="Verdana" w:eastAsia="Times New Roman" w:hAnsi="Verdana" w:cs="Times New Roman"/>
          <w:i/>
          <w:iCs/>
          <w:color w:val="000000"/>
          <w:sz w:val="19"/>
          <w:szCs w:val="19"/>
        </w:rPr>
        <w:t>Audio</w:t>
      </w:r>
      <w:r w:rsidRPr="00924A4F">
        <w:rPr>
          <w:rFonts w:ascii="Verdana" w:eastAsia="Times New Roman" w:hAnsi="Verdana" w:cs="Times New Roman"/>
          <w:color w:val="000000"/>
          <w:sz w:val="19"/>
          <w:szCs w:val="19"/>
        </w:rPr>
        <w:t> to hear this discussion or on </w:t>
      </w:r>
      <w:r w:rsidRPr="00924A4F">
        <w:rPr>
          <w:rFonts w:ascii="Verdana" w:eastAsia="Times New Roman" w:hAnsi="Verdana" w:cs="Times New Roman"/>
          <w:i/>
          <w:iCs/>
          <w:color w:val="000000"/>
          <w:sz w:val="19"/>
          <w:szCs w:val="19"/>
        </w:rPr>
        <w:t>Text</w:t>
      </w:r>
      <w:r w:rsidRPr="00924A4F">
        <w:rPr>
          <w:rFonts w:ascii="Verdana" w:eastAsia="Times New Roman" w:hAnsi="Verdana" w:cs="Times New Roman"/>
          <w:color w:val="000000"/>
          <w:sz w:val="19"/>
          <w:szCs w:val="19"/>
        </w:rPr>
        <w:t> to read it.</w:t>
      </w:r>
    </w:p>
    <w:p w:rsidR="00924A4F" w:rsidRPr="00924A4F" w:rsidRDefault="00924A4F" w:rsidP="00924A4F">
      <w:pPr>
        <w:spacing w:before="100" w:beforeAutospacing="1" w:after="100" w:afterAutospacing="1" w:line="240" w:lineRule="auto"/>
        <w:jc w:val="center"/>
        <w:rPr>
          <w:rFonts w:ascii="Verdana" w:eastAsia="Times New Roman" w:hAnsi="Verdana" w:cs="Times New Roman"/>
          <w:color w:val="000000"/>
          <w:sz w:val="19"/>
          <w:szCs w:val="19"/>
        </w:rPr>
      </w:pPr>
      <w:r w:rsidRPr="00924A4F">
        <w:rPr>
          <w:rFonts w:ascii="Verdana" w:eastAsia="Times New Roman" w:hAnsi="Verdana" w:cs="Times New Roman"/>
          <w:b/>
          <w:bCs/>
          <w:color w:val="000000"/>
          <w:sz w:val="19"/>
          <w:szCs w:val="19"/>
        </w:rPr>
        <w:t>Relationships with Significant Others and Siblings</w:t>
      </w:r>
    </w:p>
    <w:tbl>
      <w:tblPr>
        <w:tblW w:w="2050" w:type="pct"/>
        <w:jc w:val="center"/>
        <w:tblCellSpacing w:w="7"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953"/>
        <w:gridCol w:w="1878"/>
      </w:tblGrid>
      <w:tr w:rsidR="00924A4F" w:rsidRPr="00924A4F" w:rsidTr="00924A4F">
        <w:trPr>
          <w:tblCellSpacing w:w="7" w:type="dxa"/>
          <w:jc w:val="center"/>
        </w:trPr>
        <w:tc>
          <w:tcPr>
            <w:tcW w:w="2550" w:type="pct"/>
            <w:tcBorders>
              <w:top w:val="outset" w:sz="6" w:space="0" w:color="auto"/>
              <w:left w:val="outset" w:sz="6" w:space="0" w:color="auto"/>
              <w:bottom w:val="outset" w:sz="6" w:space="0" w:color="auto"/>
              <w:right w:val="outset" w:sz="6" w:space="0" w:color="auto"/>
            </w:tcBorders>
            <w:hideMark/>
          </w:tcPr>
          <w:p w:rsidR="00924A4F" w:rsidRPr="00924A4F" w:rsidRDefault="00924A4F" w:rsidP="00924A4F">
            <w:pPr>
              <w:spacing w:after="0" w:line="240" w:lineRule="auto"/>
              <w:jc w:val="center"/>
              <w:rPr>
                <w:rFonts w:ascii="Verdana" w:eastAsia="Times New Roman" w:hAnsi="Verdana" w:cs="Times New Roman"/>
                <w:sz w:val="24"/>
                <w:szCs w:val="24"/>
              </w:rPr>
            </w:pPr>
            <w:hyperlink r:id="rId12" w:history="1">
              <w:r w:rsidRPr="00924A4F">
                <w:rPr>
                  <w:rFonts w:ascii="Verdana" w:eastAsia="Times New Roman" w:hAnsi="Verdana" w:cs="Times New Roman"/>
                  <w:color w:val="0000FF"/>
                  <w:sz w:val="24"/>
                  <w:szCs w:val="24"/>
                  <w:u w:val="single"/>
                </w:rPr>
                <w:t>Audio</w:t>
              </w:r>
            </w:hyperlink>
          </w:p>
        </w:tc>
        <w:tc>
          <w:tcPr>
            <w:tcW w:w="2450" w:type="pct"/>
            <w:tcBorders>
              <w:top w:val="outset" w:sz="6" w:space="0" w:color="auto"/>
              <w:left w:val="outset" w:sz="6" w:space="0" w:color="auto"/>
              <w:bottom w:val="outset" w:sz="6" w:space="0" w:color="auto"/>
              <w:right w:val="outset" w:sz="6" w:space="0" w:color="auto"/>
            </w:tcBorders>
            <w:hideMark/>
          </w:tcPr>
          <w:p w:rsidR="00924A4F" w:rsidRPr="00924A4F" w:rsidRDefault="00924A4F" w:rsidP="00924A4F">
            <w:pPr>
              <w:spacing w:after="0" w:line="240" w:lineRule="auto"/>
              <w:jc w:val="center"/>
              <w:rPr>
                <w:rFonts w:ascii="Verdana" w:eastAsia="Times New Roman" w:hAnsi="Verdana" w:cs="Times New Roman"/>
                <w:sz w:val="24"/>
                <w:szCs w:val="24"/>
              </w:rPr>
            </w:pPr>
            <w:hyperlink r:id="rId13" w:history="1">
              <w:r w:rsidRPr="00924A4F">
                <w:rPr>
                  <w:rFonts w:ascii="Verdana" w:eastAsia="Times New Roman" w:hAnsi="Verdana" w:cs="Times New Roman"/>
                  <w:color w:val="0000FF"/>
                  <w:sz w:val="24"/>
                  <w:szCs w:val="24"/>
                  <w:u w:val="single"/>
                </w:rPr>
                <w:t>Text</w:t>
              </w:r>
            </w:hyperlink>
          </w:p>
        </w:tc>
      </w:tr>
    </w:tbl>
    <w:p w:rsidR="00924A4F" w:rsidRPr="00924A4F" w:rsidRDefault="00924A4F" w:rsidP="00924A4F">
      <w:pPr>
        <w:spacing w:before="100" w:beforeAutospacing="1" w:after="100" w:afterAutospacing="1" w:line="240" w:lineRule="auto"/>
        <w:outlineLvl w:val="2"/>
        <w:rPr>
          <w:rFonts w:ascii="Verdana" w:eastAsia="Times New Roman" w:hAnsi="Verdana" w:cs="Times New Roman"/>
          <w:b/>
          <w:bCs/>
          <w:color w:val="336699"/>
          <w:sz w:val="31"/>
          <w:szCs w:val="31"/>
        </w:rPr>
      </w:pPr>
      <w:bookmarkStart w:id="5" w:name="protecting"/>
      <w:bookmarkEnd w:id="5"/>
      <w:r w:rsidRPr="00924A4F">
        <w:rPr>
          <w:rFonts w:ascii="Verdana" w:eastAsia="Times New Roman" w:hAnsi="Verdana" w:cs="Times New Roman"/>
          <w:b/>
          <w:bCs/>
          <w:color w:val="336699"/>
          <w:sz w:val="31"/>
          <w:szCs w:val="31"/>
        </w:rPr>
        <w:t>Protecting Patients' Rights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Psychologists are often asked to testify in court proceedings as expert witnesses in a wide variety of areas. Most jurisdictions admit expert testimony from psychologists in the same way they admit medical testimony. Of course, the opposing side can challenge a professional's credentials. This is just part of the courtroom drama. </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Many, if not most, psychologists are uncomfortable testifying on the issue of legal insanity. The importance of their role, however, is clearer when they are involved in sentencing decisions regarding convicted criminals. In this area, they can alert the court as to relevant background information that may have influenced a defendant's behavior. Juries usually take this information very much into account when clinicians make sentencing recommendations. The role of the psychologist in a courtroom should be considered that of </w:t>
      </w:r>
      <w:r w:rsidRPr="00924A4F">
        <w:rPr>
          <w:rFonts w:ascii="Verdana" w:eastAsia="Times New Roman" w:hAnsi="Verdana" w:cs="Times New Roman"/>
          <w:i/>
          <w:iCs/>
          <w:color w:val="000000"/>
          <w:sz w:val="19"/>
          <w:szCs w:val="19"/>
        </w:rPr>
        <w:t xml:space="preserve">amicus </w:t>
      </w:r>
      <w:proofErr w:type="spellStart"/>
      <w:r w:rsidRPr="00924A4F">
        <w:rPr>
          <w:rFonts w:ascii="Verdana" w:eastAsia="Times New Roman" w:hAnsi="Verdana" w:cs="Times New Roman"/>
          <w:i/>
          <w:iCs/>
          <w:color w:val="000000"/>
          <w:sz w:val="19"/>
          <w:szCs w:val="19"/>
        </w:rPr>
        <w:t>curae</w:t>
      </w:r>
      <w:proofErr w:type="spellEnd"/>
      <w:r w:rsidRPr="00924A4F">
        <w:rPr>
          <w:rFonts w:ascii="Verdana" w:eastAsia="Times New Roman" w:hAnsi="Verdana" w:cs="Times New Roman"/>
          <w:color w:val="000000"/>
          <w:sz w:val="19"/>
          <w:szCs w:val="19"/>
        </w:rPr>
        <w:t>, a "friend of the court." The psychologist should aim to provide mental health information to the judge or jury.</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With respect to mental illness and civil rights, the Americans with Disabilities Act of 1996 (ADA) specifically addressed the needs of individuals with mental health problems, closely following the </w:t>
      </w:r>
      <w:r w:rsidRPr="00924A4F">
        <w:rPr>
          <w:rFonts w:ascii="Verdana" w:eastAsia="Times New Roman" w:hAnsi="Verdana" w:cs="Times New Roman"/>
          <w:color w:val="000000"/>
          <w:sz w:val="19"/>
          <w:szCs w:val="19"/>
        </w:rPr>
        <w:lastRenderedPageBreak/>
        <w:t>model of the Americans with Disabilities Act for people with physical handicaps. Passed through the endeavor of the Equal Employment Opportunities Commission, the ADA represents the most significant piece of social legislation to protect the rights of mental patients in U.S. history.</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Article 20 (</w:t>
      </w:r>
      <w:proofErr w:type="spellStart"/>
      <w:r w:rsidRPr="00924A4F">
        <w:rPr>
          <w:rFonts w:ascii="Verdana" w:eastAsia="Times New Roman" w:hAnsi="Verdana" w:cs="Times New Roman"/>
          <w:color w:val="000000"/>
          <w:sz w:val="19"/>
          <w:szCs w:val="19"/>
        </w:rPr>
        <w:t>Spanos</w:t>
      </w:r>
      <w:proofErr w:type="spellEnd"/>
      <w:r w:rsidRPr="00924A4F">
        <w:rPr>
          <w:rFonts w:ascii="Verdana" w:eastAsia="Times New Roman" w:hAnsi="Verdana" w:cs="Times New Roman"/>
          <w:color w:val="000000"/>
          <w:sz w:val="19"/>
          <w:szCs w:val="19"/>
        </w:rPr>
        <w:t>, Weekes, and Bertrand) in your Hooley, Neale, and Davison reader touches on the topic of courtroom psychology in the context of multiple personality disorder as a valid defense in the real-life Hillside Strangler Case. Our focus is on the courtroom aspects rather than multiple personality disorder as such, although you'll find out quite a bit about it in the article. If you'd like to look further into this disorder, read Comer's chapter 13.</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In video segment 1, we learn from televised news reports that people with serious mental disorders are increasingly being jailed for minor criminal offenses such as trespassing. Note the relationship of this trend to the failures of deinstitutionalization and the reasons for the continuation of the trend.</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In video segments 49 and 50, we focus on the rights of mental patients. In segment 49, a patients' rights advocate prepares a patient for a commitment hearing to help ensure that his legal and civil rights are upheld, his views considered, and his concerns addressed. In segment 50, the patients' rights advocate goes still further, raising the general notion that people have a right to hold even false ideas without being given psychological labels and forced into treatment.</w:t>
      </w:r>
    </w:p>
    <w:p w:rsidR="00924A4F" w:rsidRPr="00924A4F" w:rsidRDefault="00924A4F" w:rsidP="00924A4F">
      <w:pPr>
        <w:spacing w:before="100" w:beforeAutospacing="1" w:after="100" w:afterAutospacing="1" w:line="240" w:lineRule="auto"/>
        <w:outlineLvl w:val="2"/>
        <w:rPr>
          <w:rFonts w:ascii="Verdana" w:eastAsia="Times New Roman" w:hAnsi="Verdana" w:cs="Times New Roman"/>
          <w:b/>
          <w:bCs/>
          <w:color w:val="336699"/>
          <w:sz w:val="31"/>
          <w:szCs w:val="31"/>
        </w:rPr>
      </w:pPr>
      <w:bookmarkStart w:id="6" w:name="feminist"/>
      <w:bookmarkEnd w:id="6"/>
      <w:r w:rsidRPr="00924A4F">
        <w:rPr>
          <w:rFonts w:ascii="Verdana" w:eastAsia="Times New Roman" w:hAnsi="Verdana" w:cs="Times New Roman"/>
          <w:b/>
          <w:bCs/>
          <w:color w:val="336699"/>
          <w:sz w:val="31"/>
          <w:szCs w:val="31"/>
        </w:rPr>
        <w:t>Feminist Psychology</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Feminist psychology is considered a powerful new wave within the general field of psychology. Its ideas have a number of implications for psychopathology. To understand the special concerns of feminist psychology, you might look at the home page of </w:t>
      </w:r>
      <w:hyperlink r:id="rId14" w:history="1">
        <w:r w:rsidRPr="00924A4F">
          <w:rPr>
            <w:rFonts w:ascii="Verdana" w:eastAsia="Times New Roman" w:hAnsi="Verdana" w:cs="Times New Roman"/>
            <w:color w:val="0000FF"/>
            <w:sz w:val="19"/>
            <w:szCs w:val="19"/>
            <w:u w:val="single"/>
          </w:rPr>
          <w:t>Division 35</w:t>
        </w:r>
      </w:hyperlink>
      <w:r w:rsidRPr="00924A4F">
        <w:rPr>
          <w:rFonts w:ascii="Verdana" w:eastAsia="Times New Roman" w:hAnsi="Verdana" w:cs="Times New Roman"/>
          <w:color w:val="000000"/>
          <w:sz w:val="19"/>
          <w:szCs w:val="19"/>
        </w:rPr>
        <w:t> of the American Psychological Association.</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Feminist psychologists consider the current client-therapist relationship inappropriate and even destructive to the kinds of growth the patient needs because they view this relationship as a patriarchal hierarchy that deserves to be extinguished. Because of their focus on kinship and reciprocity, feminist psychologists also point to the need to identify and acknowledge the presence of male nurturing as well as to foster it. Although the need for male as well as female nurturing is already a main aspect of the humanistic model, it is a unique part of feminist theory.</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If we can reasonably conclude that delayed reactions to stress and trauma with origins as far back as childhood will be prevalent in the twenty-first century, the therapeutic approach should consist of identifying the injuries and helping the client to </w:t>
      </w:r>
      <w:proofErr w:type="spellStart"/>
      <w:r w:rsidRPr="00924A4F">
        <w:rPr>
          <w:rFonts w:ascii="Verdana" w:eastAsia="Times New Roman" w:hAnsi="Verdana" w:cs="Times New Roman"/>
          <w:color w:val="000000"/>
          <w:sz w:val="19"/>
          <w:szCs w:val="19"/>
        </w:rPr>
        <w:t>reexperience</w:t>
      </w:r>
      <w:proofErr w:type="spellEnd"/>
      <w:r w:rsidRPr="00924A4F">
        <w:rPr>
          <w:rFonts w:ascii="Verdana" w:eastAsia="Times New Roman" w:hAnsi="Verdana" w:cs="Times New Roman"/>
          <w:color w:val="000000"/>
          <w:sz w:val="19"/>
          <w:szCs w:val="19"/>
        </w:rPr>
        <w:t xml:space="preserve"> the childhood trauma to begin healing the wounds it caused. This process can take place only in a nurturing and trusting relationship that attempts to substitute for the absence of nurturance in the child's experience. </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The emphasis is on the relationship between therapist and patient in terms of trust and </w:t>
      </w:r>
      <w:proofErr w:type="spellStart"/>
      <w:r w:rsidRPr="00924A4F">
        <w:rPr>
          <w:rFonts w:ascii="Verdana" w:eastAsia="Times New Roman" w:hAnsi="Verdana" w:cs="Times New Roman"/>
          <w:color w:val="000000"/>
          <w:sz w:val="19"/>
          <w:szCs w:val="19"/>
        </w:rPr>
        <w:t>reparenting</w:t>
      </w:r>
      <w:proofErr w:type="spellEnd"/>
      <w:r w:rsidRPr="00924A4F">
        <w:rPr>
          <w:rFonts w:ascii="Verdana" w:eastAsia="Times New Roman" w:hAnsi="Verdana" w:cs="Times New Roman"/>
          <w:color w:val="000000"/>
          <w:sz w:val="19"/>
          <w:szCs w:val="19"/>
        </w:rPr>
        <w:t>. The term </w:t>
      </w:r>
      <w:proofErr w:type="spellStart"/>
      <w:r w:rsidRPr="00924A4F">
        <w:rPr>
          <w:rFonts w:ascii="Verdana" w:eastAsia="Times New Roman" w:hAnsi="Verdana" w:cs="Times New Roman"/>
          <w:i/>
          <w:iCs/>
          <w:color w:val="000000"/>
          <w:sz w:val="19"/>
          <w:szCs w:val="19"/>
        </w:rPr>
        <w:t>reparenting</w:t>
      </w:r>
      <w:proofErr w:type="spellEnd"/>
      <w:r w:rsidRPr="00924A4F">
        <w:rPr>
          <w:rFonts w:ascii="Verdana" w:eastAsia="Times New Roman" w:hAnsi="Verdana" w:cs="Times New Roman"/>
          <w:i/>
          <w:iCs/>
          <w:color w:val="000000"/>
          <w:sz w:val="19"/>
          <w:szCs w:val="19"/>
        </w:rPr>
        <w:t> </w:t>
      </w:r>
      <w:r w:rsidRPr="00924A4F">
        <w:rPr>
          <w:rFonts w:ascii="Verdana" w:eastAsia="Times New Roman" w:hAnsi="Verdana" w:cs="Times New Roman"/>
          <w:color w:val="000000"/>
          <w:sz w:val="19"/>
          <w:szCs w:val="19"/>
        </w:rPr>
        <w:t>comes directly from attachment theory. When nurturing bonds are severed, interfered with, or simply do not exist, the patient, to lead a psychologically positive life, needs to obtain this nurturance as a part of the therapeutic journey. Many regard feminist psychology, with its focus on connectedness and relationships, as the ideal vehicle to accomplish this task.</w:t>
      </w:r>
    </w:p>
    <w:p w:rsidR="00924A4F" w:rsidRPr="00924A4F" w:rsidRDefault="00924A4F" w:rsidP="00924A4F">
      <w:pPr>
        <w:spacing w:before="100" w:beforeAutospacing="1" w:after="100" w:afterAutospacing="1" w:line="240" w:lineRule="auto"/>
        <w:outlineLvl w:val="2"/>
        <w:rPr>
          <w:rFonts w:ascii="Verdana" w:eastAsia="Times New Roman" w:hAnsi="Verdana" w:cs="Times New Roman"/>
          <w:b/>
          <w:bCs/>
          <w:color w:val="336699"/>
          <w:sz w:val="31"/>
          <w:szCs w:val="31"/>
        </w:rPr>
      </w:pPr>
      <w:bookmarkStart w:id="7" w:name="conclusion"/>
      <w:bookmarkEnd w:id="7"/>
      <w:r w:rsidRPr="00924A4F">
        <w:rPr>
          <w:rFonts w:ascii="Verdana" w:eastAsia="Times New Roman" w:hAnsi="Verdana" w:cs="Times New Roman"/>
          <w:b/>
          <w:bCs/>
          <w:color w:val="336699"/>
          <w:sz w:val="31"/>
          <w:szCs w:val="31"/>
        </w:rPr>
        <w:t>Conclusion</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The issues in current practice and future applications of adult psychopathology that we've covered in module 5 are among the most important, but they are by no means all the issues. </w:t>
      </w:r>
      <w:r w:rsidRPr="00924A4F">
        <w:rPr>
          <w:rFonts w:ascii="Verdana" w:eastAsia="Times New Roman" w:hAnsi="Verdana" w:cs="Times New Roman"/>
          <w:color w:val="000000"/>
          <w:sz w:val="19"/>
          <w:szCs w:val="19"/>
        </w:rPr>
        <w:lastRenderedPageBreak/>
        <w:t>Watch for still others. However, in arriving at the end of module 5, we've also come to the end of the course. Congratulations on your perseverance!</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This would be a good time to skim through the course schedule in your syllabus and the tables of contents in your Comer text and your Hooley, Neale, and Davison reader, to help you recall the various topics you've studied as well as to help you place everything in the larger picture. You might also go back and revisit the chapter quizzes in your text and at the publisher's companion Web site. Another look at the video segments may help you attain a still deeper understanding of the situations depicted.</w:t>
      </w:r>
    </w:p>
    <w:p w:rsidR="00924A4F" w:rsidRPr="00924A4F" w:rsidRDefault="00924A4F" w:rsidP="00924A4F">
      <w:pPr>
        <w:spacing w:before="100" w:beforeAutospacing="1" w:after="100" w:afterAutospacing="1" w:line="240" w:lineRule="auto"/>
        <w:outlineLvl w:val="2"/>
        <w:rPr>
          <w:rFonts w:ascii="Verdana" w:eastAsia="Times New Roman" w:hAnsi="Verdana" w:cs="Times New Roman"/>
          <w:b/>
          <w:bCs/>
          <w:color w:val="336699"/>
          <w:sz w:val="31"/>
          <w:szCs w:val="31"/>
        </w:rPr>
      </w:pPr>
      <w:r w:rsidRPr="00924A4F">
        <w:rPr>
          <w:rFonts w:ascii="Verdana" w:eastAsia="Times New Roman" w:hAnsi="Verdana" w:cs="Times New Roman"/>
          <w:b/>
          <w:bCs/>
          <w:color w:val="336699"/>
          <w:sz w:val="31"/>
          <w:szCs w:val="31"/>
        </w:rPr>
        <w:t>References</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Black. D. W., Yates, W., Petty, F., Noyes, R., and Brown, K. (1986) Suicidal behaviors in alcoholic males. </w:t>
      </w:r>
      <w:r w:rsidRPr="00924A4F">
        <w:rPr>
          <w:rFonts w:ascii="Verdana" w:eastAsia="Times New Roman" w:hAnsi="Verdana" w:cs="Times New Roman"/>
          <w:i/>
          <w:iCs/>
          <w:color w:val="000000"/>
          <w:sz w:val="19"/>
          <w:szCs w:val="19"/>
        </w:rPr>
        <w:t>Comprehensive Psychiatry,</w:t>
      </w:r>
      <w:r w:rsidRPr="00924A4F">
        <w:rPr>
          <w:rFonts w:ascii="Verdana" w:eastAsia="Times New Roman" w:hAnsi="Verdana" w:cs="Times New Roman"/>
          <w:color w:val="000000"/>
          <w:sz w:val="19"/>
          <w:szCs w:val="19"/>
        </w:rPr>
        <w:t> 27(3), 227–233.</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proofErr w:type="spellStart"/>
      <w:r w:rsidRPr="00924A4F">
        <w:rPr>
          <w:rFonts w:ascii="Verdana" w:eastAsia="Times New Roman" w:hAnsi="Verdana" w:cs="Times New Roman"/>
          <w:color w:val="000000"/>
          <w:sz w:val="19"/>
          <w:szCs w:val="19"/>
        </w:rPr>
        <w:t>Diekstra</w:t>
      </w:r>
      <w:proofErr w:type="spellEnd"/>
      <w:r w:rsidRPr="00924A4F">
        <w:rPr>
          <w:rFonts w:ascii="Verdana" w:eastAsia="Times New Roman" w:hAnsi="Verdana" w:cs="Times New Roman"/>
          <w:color w:val="000000"/>
          <w:sz w:val="19"/>
          <w:szCs w:val="19"/>
        </w:rPr>
        <w:t xml:space="preserve">, R. F. (1996). The epidemiology of suicide and </w:t>
      </w:r>
      <w:proofErr w:type="spellStart"/>
      <w:r w:rsidRPr="00924A4F">
        <w:rPr>
          <w:rFonts w:ascii="Verdana" w:eastAsia="Times New Roman" w:hAnsi="Verdana" w:cs="Times New Roman"/>
          <w:color w:val="000000"/>
          <w:sz w:val="19"/>
          <w:szCs w:val="19"/>
        </w:rPr>
        <w:t>parasuicide</w:t>
      </w:r>
      <w:proofErr w:type="spellEnd"/>
      <w:r w:rsidRPr="00924A4F">
        <w:rPr>
          <w:rFonts w:ascii="Verdana" w:eastAsia="Times New Roman" w:hAnsi="Verdana" w:cs="Times New Roman"/>
          <w:color w:val="000000"/>
          <w:sz w:val="19"/>
          <w:szCs w:val="19"/>
        </w:rPr>
        <w:t>. </w:t>
      </w:r>
      <w:r w:rsidRPr="00924A4F">
        <w:rPr>
          <w:rFonts w:ascii="Verdana" w:eastAsia="Times New Roman" w:hAnsi="Verdana" w:cs="Times New Roman"/>
          <w:i/>
          <w:iCs/>
          <w:color w:val="000000"/>
          <w:sz w:val="19"/>
          <w:szCs w:val="19"/>
        </w:rPr>
        <w:t>Archives of Suicide Research</w:t>
      </w:r>
      <w:r w:rsidRPr="00924A4F">
        <w:rPr>
          <w:rFonts w:ascii="Verdana" w:eastAsia="Times New Roman" w:hAnsi="Verdana" w:cs="Times New Roman"/>
          <w:color w:val="000000"/>
          <w:sz w:val="19"/>
          <w:szCs w:val="19"/>
        </w:rPr>
        <w:t>, </w:t>
      </w:r>
      <w:r w:rsidRPr="00924A4F">
        <w:rPr>
          <w:rFonts w:ascii="Verdana" w:eastAsia="Times New Roman" w:hAnsi="Verdana" w:cs="Times New Roman"/>
          <w:i/>
          <w:iCs/>
          <w:color w:val="000000"/>
          <w:sz w:val="19"/>
          <w:szCs w:val="19"/>
        </w:rPr>
        <w:t>2</w:t>
      </w:r>
      <w:r w:rsidRPr="00924A4F">
        <w:rPr>
          <w:rFonts w:ascii="Verdana" w:eastAsia="Times New Roman" w:hAnsi="Verdana" w:cs="Times New Roman"/>
          <w:color w:val="000000"/>
          <w:sz w:val="19"/>
          <w:szCs w:val="19"/>
        </w:rPr>
        <w:t>, 1–29.</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Kinney, J. </w:t>
      </w:r>
      <w:r w:rsidRPr="00924A4F">
        <w:rPr>
          <w:rFonts w:ascii="Verdana" w:eastAsia="Times New Roman" w:hAnsi="Verdana" w:cs="Times New Roman"/>
          <w:i/>
          <w:iCs/>
          <w:color w:val="000000"/>
          <w:sz w:val="19"/>
          <w:szCs w:val="19"/>
        </w:rPr>
        <w:t>Loosening the Grip</w:t>
      </w:r>
      <w:r w:rsidRPr="00924A4F">
        <w:rPr>
          <w:rFonts w:ascii="Verdana" w:eastAsia="Times New Roman" w:hAnsi="Verdana" w:cs="Times New Roman"/>
          <w:color w:val="000000"/>
          <w:sz w:val="19"/>
          <w:szCs w:val="19"/>
        </w:rPr>
        <w:t>. (2000). 6th ed. Boston: McGraw-Hill Higher Education.</w:t>
      </w:r>
    </w:p>
    <w:p w:rsidR="00924A4F" w:rsidRPr="00924A4F" w:rsidRDefault="00924A4F" w:rsidP="00924A4F">
      <w:pPr>
        <w:spacing w:before="100" w:beforeAutospacing="1" w:after="100" w:afterAutospacing="1" w:line="240" w:lineRule="auto"/>
        <w:rPr>
          <w:rFonts w:ascii="Verdana" w:eastAsia="Times New Roman" w:hAnsi="Verdana" w:cs="Times New Roman"/>
          <w:color w:val="000000"/>
          <w:sz w:val="19"/>
          <w:szCs w:val="19"/>
        </w:rPr>
      </w:pPr>
      <w:r w:rsidRPr="00924A4F">
        <w:rPr>
          <w:rFonts w:ascii="Verdana" w:eastAsia="Times New Roman" w:hAnsi="Verdana" w:cs="Times New Roman"/>
          <w:color w:val="000000"/>
          <w:sz w:val="19"/>
          <w:szCs w:val="19"/>
        </w:rPr>
        <w:t xml:space="preserve">Phillips, D. P. (1974) </w:t>
      </w:r>
      <w:proofErr w:type="gramStart"/>
      <w:r w:rsidRPr="00924A4F">
        <w:rPr>
          <w:rFonts w:ascii="Verdana" w:eastAsia="Times New Roman" w:hAnsi="Verdana" w:cs="Times New Roman"/>
          <w:color w:val="000000"/>
          <w:sz w:val="19"/>
          <w:szCs w:val="19"/>
        </w:rPr>
        <w:t>The</w:t>
      </w:r>
      <w:proofErr w:type="gramEnd"/>
      <w:r w:rsidRPr="00924A4F">
        <w:rPr>
          <w:rFonts w:ascii="Verdana" w:eastAsia="Times New Roman" w:hAnsi="Verdana" w:cs="Times New Roman"/>
          <w:color w:val="000000"/>
          <w:sz w:val="19"/>
          <w:szCs w:val="19"/>
        </w:rPr>
        <w:t xml:space="preserve"> influence of suggestions on suicide: Substances and theoretical implications of the </w:t>
      </w:r>
      <w:proofErr w:type="spellStart"/>
      <w:r w:rsidRPr="00924A4F">
        <w:rPr>
          <w:rFonts w:ascii="Verdana" w:eastAsia="Times New Roman" w:hAnsi="Verdana" w:cs="Times New Roman"/>
          <w:color w:val="000000"/>
          <w:sz w:val="19"/>
          <w:szCs w:val="19"/>
        </w:rPr>
        <w:t>Werther</w:t>
      </w:r>
      <w:proofErr w:type="spellEnd"/>
      <w:r w:rsidRPr="00924A4F">
        <w:rPr>
          <w:rFonts w:ascii="Verdana" w:eastAsia="Times New Roman" w:hAnsi="Verdana" w:cs="Times New Roman"/>
          <w:color w:val="000000"/>
          <w:sz w:val="19"/>
          <w:szCs w:val="19"/>
        </w:rPr>
        <w:t xml:space="preserve"> effect.</w:t>
      </w:r>
      <w:r w:rsidRPr="00924A4F">
        <w:rPr>
          <w:rFonts w:ascii="Verdana" w:eastAsia="Times New Roman" w:hAnsi="Verdana" w:cs="Times New Roman"/>
          <w:i/>
          <w:iCs/>
          <w:color w:val="000000"/>
          <w:sz w:val="19"/>
          <w:szCs w:val="19"/>
        </w:rPr>
        <w:t> American Social Review, 39,</w:t>
      </w:r>
      <w:r w:rsidRPr="00924A4F">
        <w:rPr>
          <w:rFonts w:ascii="Verdana" w:eastAsia="Times New Roman" w:hAnsi="Verdana" w:cs="Times New Roman"/>
          <w:color w:val="000000"/>
          <w:sz w:val="19"/>
          <w:szCs w:val="19"/>
        </w:rPr>
        <w:t> 340–354.</w:t>
      </w:r>
    </w:p>
    <w:p w:rsidR="00924A4F" w:rsidRPr="00924A4F" w:rsidRDefault="00924A4F" w:rsidP="00924A4F">
      <w:pPr>
        <w:spacing w:before="100" w:beforeAutospacing="1" w:after="100" w:afterAutospacing="1" w:line="240" w:lineRule="auto"/>
        <w:rPr>
          <w:rFonts w:ascii="Verdana" w:eastAsia="Times New Roman" w:hAnsi="Verdana" w:cs="Times New Roman"/>
          <w:i/>
          <w:iCs/>
          <w:color w:val="000000"/>
          <w:sz w:val="19"/>
          <w:szCs w:val="19"/>
        </w:rPr>
      </w:pPr>
      <w:hyperlink r:id="rId15" w:anchor="pagetop" w:history="1">
        <w:r w:rsidRPr="00924A4F">
          <w:rPr>
            <w:rFonts w:ascii="Verdana" w:eastAsia="Times New Roman" w:hAnsi="Verdana" w:cs="Times New Roman"/>
            <w:i/>
            <w:iCs/>
            <w:color w:val="0000FF"/>
            <w:sz w:val="19"/>
            <w:szCs w:val="19"/>
            <w:u w:val="single"/>
          </w:rPr>
          <w:t>Return to top of page</w:t>
        </w:r>
      </w:hyperlink>
    </w:p>
    <w:p w:rsidR="00924A4F" w:rsidRPr="00924A4F" w:rsidRDefault="00924A4F" w:rsidP="00924A4F">
      <w:pPr>
        <w:shd w:val="clear" w:color="auto" w:fill="EEEEFF"/>
        <w:spacing w:after="0" w:line="240" w:lineRule="auto"/>
        <w:jc w:val="center"/>
        <w:rPr>
          <w:rFonts w:ascii="Verdana" w:eastAsia="Times New Roman" w:hAnsi="Verdana" w:cs="Times New Roman"/>
          <w:color w:val="336699"/>
          <w:sz w:val="15"/>
          <w:szCs w:val="15"/>
        </w:rPr>
      </w:pPr>
      <w:hyperlink r:id="rId16" w:history="1">
        <w:r w:rsidRPr="00924A4F">
          <w:rPr>
            <w:rFonts w:ascii="Verdana" w:eastAsia="Times New Roman" w:hAnsi="Verdana" w:cs="Times New Roman"/>
            <w:b/>
            <w:bCs/>
            <w:color w:val="336699"/>
            <w:sz w:val="15"/>
            <w:szCs w:val="15"/>
            <w:u w:val="single"/>
          </w:rPr>
          <w:t>Report broken links or any other problems on this page.</w:t>
        </w:r>
      </w:hyperlink>
      <w:r w:rsidRPr="00924A4F">
        <w:rPr>
          <w:rFonts w:ascii="Verdana" w:eastAsia="Times New Roman" w:hAnsi="Verdana" w:cs="Times New Roman"/>
          <w:color w:val="336699"/>
          <w:sz w:val="15"/>
          <w:szCs w:val="15"/>
        </w:rPr>
        <w:br/>
      </w:r>
      <w:r w:rsidRPr="00924A4F">
        <w:rPr>
          <w:rFonts w:ascii="Verdana" w:eastAsia="Times New Roman" w:hAnsi="Verdana" w:cs="Times New Roman"/>
          <w:color w:val="336699"/>
          <w:sz w:val="15"/>
          <w:szCs w:val="15"/>
        </w:rPr>
        <w:br/>
      </w:r>
      <w:hyperlink r:id="rId17" w:history="1">
        <w:r w:rsidRPr="00924A4F">
          <w:rPr>
            <w:rFonts w:ascii="Verdana" w:eastAsia="Times New Roman" w:hAnsi="Verdana" w:cs="Times New Roman"/>
            <w:b/>
            <w:bCs/>
            <w:color w:val="336699"/>
            <w:sz w:val="15"/>
            <w:szCs w:val="15"/>
            <w:u w:val="single"/>
          </w:rPr>
          <w:t>Copyright © by University of Maryland University College.</w:t>
        </w:r>
      </w:hyperlink>
    </w:p>
    <w:p w:rsidR="00414BDC" w:rsidRDefault="00924A4F"/>
    <w:sectPr w:rsidR="00414B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02855"/>
    <w:multiLevelType w:val="multilevel"/>
    <w:tmpl w:val="F9ACF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F70EAF"/>
    <w:multiLevelType w:val="multilevel"/>
    <w:tmpl w:val="EDB6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A4F"/>
    <w:rsid w:val="00794BED"/>
    <w:rsid w:val="00924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FCB7BF-36F1-45A2-BF01-598B0CC19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823513">
      <w:bodyDiv w:val="1"/>
      <w:marLeft w:val="0"/>
      <w:marRight w:val="0"/>
      <w:marTop w:val="0"/>
      <w:marBottom w:val="0"/>
      <w:divBdr>
        <w:top w:val="none" w:sz="0" w:space="0" w:color="auto"/>
        <w:left w:val="none" w:sz="0" w:space="0" w:color="auto"/>
        <w:bottom w:val="none" w:sz="0" w:space="0" w:color="auto"/>
        <w:right w:val="none" w:sz="0" w:space="0" w:color="auto"/>
      </w:divBdr>
      <w:divsChild>
        <w:div w:id="400257922">
          <w:blockQuote w:val="1"/>
          <w:marLeft w:val="720"/>
          <w:marRight w:val="720"/>
          <w:marTop w:val="100"/>
          <w:marBottom w:val="100"/>
          <w:divBdr>
            <w:top w:val="none" w:sz="0" w:space="0" w:color="auto"/>
            <w:left w:val="none" w:sz="0" w:space="0" w:color="auto"/>
            <w:bottom w:val="none" w:sz="0" w:space="0" w:color="auto"/>
            <w:right w:val="none" w:sz="0" w:space="0" w:color="auto"/>
          </w:divBdr>
        </w:div>
        <w:div w:id="957176359">
          <w:blockQuote w:val="1"/>
          <w:marLeft w:val="720"/>
          <w:marRight w:val="720"/>
          <w:marTop w:val="100"/>
          <w:marBottom w:val="100"/>
          <w:divBdr>
            <w:top w:val="none" w:sz="0" w:space="0" w:color="auto"/>
            <w:left w:val="none" w:sz="0" w:space="0" w:color="auto"/>
            <w:bottom w:val="none" w:sz="0" w:space="0" w:color="auto"/>
            <w:right w:val="none" w:sz="0" w:space="0" w:color="auto"/>
          </w:divBdr>
        </w:div>
        <w:div w:id="308362866">
          <w:marLeft w:val="0"/>
          <w:marRight w:val="0"/>
          <w:marTop w:val="240"/>
          <w:marBottom w:val="0"/>
          <w:divBdr>
            <w:top w:val="single" w:sz="12" w:space="8" w:color="336699"/>
            <w:left w:val="single" w:sz="12" w:space="8" w:color="336699"/>
            <w:bottom w:val="single" w:sz="12" w:space="8" w:color="336699"/>
            <w:right w:val="single" w:sz="12" w:space="8" w:color="336699"/>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umuc.edu/file/d41d1333-27ea-4f74-89a9-34f2bebdb83f/1/PSYC353-0406.zip/Modules/M5-Module_5/S3-Commentary.html" TargetMode="External"/><Relationship Id="rId13" Type="http://schemas.openxmlformats.org/officeDocument/2006/relationships/hyperlink" Target="https://content.umuc.edu/file/d41d1333-27ea-4f74-89a9-34f2bebdb83f/1/PSYC353-0406.zip/Modules/M5-Module_5/popups/m5-script9.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ntent.umuc.edu/file/d41d1333-27ea-4f74-89a9-34f2bebdb83f/1/PSYC353-0406.zip/Modules/M5-Module_5/S3-Commentary.html" TargetMode="External"/><Relationship Id="rId12" Type="http://schemas.openxmlformats.org/officeDocument/2006/relationships/hyperlink" Target="http://coursemedia.umuc.edu/coursedev/psyc353/script9.mp3" TargetMode="External"/><Relationship Id="rId17" Type="http://schemas.openxmlformats.org/officeDocument/2006/relationships/hyperlink" Target="https://content.umuc.edu/file/d41d1333-27ea-4f74-89a9-34f2bebdb83f/1/PSYC353-0406.zip/common/copyright.html" TargetMode="External"/><Relationship Id="rId2" Type="http://schemas.openxmlformats.org/officeDocument/2006/relationships/styles" Target="styles.xml"/><Relationship Id="rId16" Type="http://schemas.openxmlformats.org/officeDocument/2006/relationships/hyperlink" Target="http://help.umuc.edu/" TargetMode="External"/><Relationship Id="rId1" Type="http://schemas.openxmlformats.org/officeDocument/2006/relationships/numbering" Target="numbering.xml"/><Relationship Id="rId6" Type="http://schemas.openxmlformats.org/officeDocument/2006/relationships/hyperlink" Target="https://content.umuc.edu/file/d41d1333-27ea-4f74-89a9-34f2bebdb83f/1/PSYC353-0406.zip/Modules/M5-Module_5/S3-Commentary.html" TargetMode="External"/><Relationship Id="rId11" Type="http://schemas.openxmlformats.org/officeDocument/2006/relationships/hyperlink" Target="https://content.umuc.edu/file/d41d1333-27ea-4f74-89a9-34f2bebdb83f/1/PSYC353-0406.zip/Modules/M5-Module_5/popups/popup5-1.html" TargetMode="External"/><Relationship Id="rId5" Type="http://schemas.openxmlformats.org/officeDocument/2006/relationships/hyperlink" Target="https://content.umuc.edu/file/d41d1333-27ea-4f74-89a9-34f2bebdb83f/1/PSYC353-0406.zip/Modules/M5-Module_5/S3-Commentary.html" TargetMode="External"/><Relationship Id="rId15" Type="http://schemas.openxmlformats.org/officeDocument/2006/relationships/hyperlink" Target="https://content.umuc.edu/file/d41d1333-27ea-4f74-89a9-34f2bebdb83f/1/PSYC353-0406.zip/Modules/M5-Module_5/S3-Commentary.html" TargetMode="External"/><Relationship Id="rId10" Type="http://schemas.openxmlformats.org/officeDocument/2006/relationships/hyperlink" Target="https://content.umuc.edu/file/d41d1333-27ea-4f74-89a9-34f2bebdb83f/1/PSYC353-0406.zip/Modules/M5-Module_5/S3-Commentary.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ontent.umuc.edu/file/d41d1333-27ea-4f74-89a9-34f2bebdb83f/1/PSYC353-0406.zip/Modules/M5-Module_5/S3-Commentary.html" TargetMode="External"/><Relationship Id="rId14" Type="http://schemas.openxmlformats.org/officeDocument/2006/relationships/hyperlink" Target="http://www.apa.org/about/division/div3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4622</Words>
  <Characters>26351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Brightwood</dc:creator>
  <cp:keywords/>
  <dc:description/>
  <cp:lastModifiedBy>Brightwood </cp:lastModifiedBy>
  <cp:revision>1</cp:revision>
  <dcterms:created xsi:type="dcterms:W3CDTF">2018-03-01T05:12:00Z</dcterms:created>
  <dcterms:modified xsi:type="dcterms:W3CDTF">2018-03-01T05:13:00Z</dcterms:modified>
</cp:coreProperties>
</file>